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right="420"/>
        <w:rPr>
          <w:b/>
          <w:sz w:val="48"/>
          <w:szCs w:val="48"/>
        </w:rPr>
      </w:pPr>
    </w:p>
    <w:p>
      <w:pPr>
        <w:ind w:right="420"/>
        <w:rPr>
          <w:b/>
          <w:sz w:val="48"/>
          <w:szCs w:val="48"/>
        </w:rPr>
      </w:pPr>
      <w:r>
        <w:rPr>
          <w:rFonts w:hint="eastAsia" w:ascii="方正小标宋简体" w:eastAsia="方正小标宋简体"/>
          <w:b/>
        </w:rPr>
        <w:drawing>
          <wp:anchor distT="0" distB="0" distL="114300" distR="114300" simplePos="0" relativeHeight="251660288" behindDoc="0" locked="0" layoutInCell="1" allowOverlap="1">
            <wp:simplePos x="0" y="0"/>
            <wp:positionH relativeFrom="column">
              <wp:posOffset>3591560</wp:posOffset>
            </wp:positionH>
            <wp:positionV relativeFrom="paragraph">
              <wp:posOffset>-3175</wp:posOffset>
            </wp:positionV>
            <wp:extent cx="1727835" cy="699770"/>
            <wp:effectExtent l="0" t="0" r="5715" b="5080"/>
            <wp:wrapSquare wrapText="bothSides"/>
            <wp:docPr id="132" name="图片 1" descr="1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 descr="111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727835" cy="699770"/>
                    </a:xfrm>
                    <a:prstGeom prst="rect">
                      <a:avLst/>
                    </a:prstGeom>
                    <a:noFill/>
                    <a:ln>
                      <a:noFill/>
                    </a:ln>
                  </pic:spPr>
                </pic:pic>
              </a:graphicData>
            </a:graphic>
          </wp:anchor>
        </w:drawing>
      </w:r>
    </w:p>
    <w:p>
      <w:pPr>
        <w:ind w:right="420"/>
        <w:rPr>
          <w:b/>
          <w:w w:val="150"/>
          <w:sz w:val="52"/>
          <w:szCs w:val="52"/>
        </w:rPr>
      </w:pPr>
    </w:p>
    <w:p>
      <w:pPr>
        <w:spacing w:line="120" w:lineRule="auto"/>
        <w:ind w:firstLine="211" w:firstLineChars="37"/>
        <w:jc w:val="distribute"/>
        <w:rPr>
          <w:rFonts w:asciiTheme="minorEastAsia" w:hAnsiTheme="minorEastAsia" w:eastAsiaTheme="minorEastAsia"/>
          <w:w w:val="110"/>
        </w:rPr>
      </w:pPr>
      <w:r>
        <w:rPr>
          <w:rFonts w:hint="eastAsia" w:asciiTheme="minorEastAsia" w:hAnsiTheme="minorEastAsia" w:eastAsiaTheme="minorEastAsia"/>
          <w:w w:val="110"/>
          <w:sz w:val="52"/>
          <w:szCs w:val="52"/>
        </w:rPr>
        <w:t>湖北省地方计量技术规范</w:t>
      </w:r>
    </w:p>
    <w:p>
      <w:pPr>
        <w:jc w:val="left"/>
        <w:rPr>
          <w:rFonts w:ascii="黑体" w:hAnsi="黑体" w:eastAsia="黑体"/>
          <w:sz w:val="28"/>
          <w:szCs w:val="28"/>
        </w:rPr>
      </w:pPr>
      <w:r>
        <w:rPr>
          <w:rFonts w:hint="eastAsia" w:ascii="黑体" w:hAnsi="黑体" w:eastAsia="黑体"/>
          <w:sz w:val="28"/>
          <w:szCs w:val="28"/>
        </w:rPr>
        <w:t xml:space="preserve">                                            JJF（鄂）-202×</w:t>
      </w:r>
    </w:p>
    <w:p>
      <w:pPr>
        <w:spacing w:line="360" w:lineRule="auto"/>
        <w:rPr>
          <w:rFonts w:ascii="黑体" w:hAnsi="黑体" w:eastAsia="黑体"/>
          <w:sz w:val="36"/>
          <w:szCs w:val="36"/>
        </w:rPr>
      </w:pPr>
      <w:r>
        <w:rPr>
          <w:rFonts w:ascii="黑体" w:hAnsi="黑体" w:eastAsia="黑体"/>
          <w:sz w:val="36"/>
          <w:szCs w:val="36"/>
          <w:u w:val="single"/>
        </w:rPr>
        <w:pict>
          <v:line id="_x0000_s1026" o:spid="_x0000_s1026" o:spt="20" style="position:absolute;left:0pt;flip:y;margin-left:1.1pt;margin-top:-0.3pt;height:2.6pt;width:455.55pt;z-index:251662336;mso-width-relative:page;mso-height-relative:page;" coordsize="21600,21600" o:gfxdata="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9fg/utUA&#10;AAAFAQAADwAAAAAAAAABACAAAAAiAAAAZHJzL2Rvd25yZXYueG1sUEsBAhQAFAAAAAgAh07iQIAs&#10;0z/pAQAAtwMAAA4AAAAAAAAAAQAgAAAAJAEAAGRycy9lMm9Eb2MueG1sUEsFBgAAAAAGAAYAWQEA&#10;AH8FAAAAAA==&#10;">
            <v:path arrowok="t"/>
            <v:fill focussize="0,0"/>
            <v:stroke weight="1pt"/>
            <v:imagedata o:title=""/>
            <o:lock v:ext="edit"/>
          </v:line>
        </w:pict>
      </w:r>
    </w:p>
    <w:p>
      <w:pPr>
        <w:spacing w:line="360" w:lineRule="auto"/>
        <w:jc w:val="center"/>
        <w:rPr>
          <w:rFonts w:ascii="黑体" w:hAnsi="黑体" w:eastAsia="黑体"/>
          <w:sz w:val="36"/>
          <w:szCs w:val="36"/>
        </w:rPr>
      </w:pPr>
    </w:p>
    <w:p>
      <w:pPr>
        <w:spacing w:line="360" w:lineRule="auto"/>
        <w:jc w:val="center"/>
        <w:rPr>
          <w:sz w:val="52"/>
          <w:szCs w:val="52"/>
        </w:rPr>
      </w:pPr>
      <w:r>
        <w:rPr>
          <w:rFonts w:hint="eastAsia" w:ascii="黑体" w:hAnsi="黑体" w:eastAsia="黑体"/>
          <w:sz w:val="52"/>
          <w:szCs w:val="52"/>
        </w:rPr>
        <w:t>电梯综合测试仪校准规范</w:t>
      </w:r>
    </w:p>
    <w:p>
      <w:pPr>
        <w:snapToGrid w:val="0"/>
        <w:spacing w:line="360" w:lineRule="auto"/>
        <w:jc w:val="center"/>
        <w:rPr>
          <w:rFonts w:hint="default" w:ascii="Times New Roman" w:hAnsi="Times New Roman" w:eastAsia="黑体" w:cs="Times New Roman"/>
          <w:b/>
          <w:sz w:val="28"/>
          <w:szCs w:val="28"/>
        </w:rPr>
      </w:pPr>
      <w:r>
        <w:rPr>
          <w:rFonts w:hint="default" w:ascii="Times New Roman" w:hAnsi="Times New Roman" w:eastAsia="黑体" w:cs="Times New Roman"/>
          <w:b/>
          <w:sz w:val="28"/>
          <w:szCs w:val="28"/>
        </w:rPr>
        <w:t>Calibration specification for elevator acceleration and deceleration tester</w:t>
      </w:r>
    </w:p>
    <w:p>
      <w:pPr>
        <w:spacing w:line="360" w:lineRule="auto"/>
      </w:pPr>
    </w:p>
    <w:p>
      <w:pPr>
        <w:spacing w:line="360" w:lineRule="auto"/>
      </w:pPr>
    </w:p>
    <w:p>
      <w:pPr>
        <w:spacing w:line="360" w:lineRule="auto"/>
        <w:jc w:val="center"/>
        <w:rPr>
          <w:b/>
          <w:sz w:val="36"/>
          <w:szCs w:val="36"/>
        </w:rPr>
      </w:pPr>
      <w:r>
        <w:rPr>
          <w:rFonts w:hint="eastAsia"/>
          <w:b/>
          <w:sz w:val="36"/>
          <w:szCs w:val="36"/>
        </w:rPr>
        <w:t>（</w:t>
      </w:r>
      <w:r>
        <w:rPr>
          <w:rFonts w:hint="eastAsia"/>
          <w:b/>
          <w:sz w:val="36"/>
          <w:szCs w:val="36"/>
          <w:lang w:val="en-US" w:eastAsia="zh-CN"/>
        </w:rPr>
        <w:t>征求意见</w:t>
      </w:r>
      <w:r>
        <w:rPr>
          <w:rFonts w:hint="eastAsia"/>
          <w:b/>
          <w:sz w:val="36"/>
          <w:szCs w:val="36"/>
        </w:rPr>
        <w:t>稿）</w:t>
      </w:r>
    </w:p>
    <w:p>
      <w:pPr>
        <w:spacing w:line="360" w:lineRule="auto"/>
        <w:ind w:firstLine="630" w:firstLineChars="300"/>
      </w:pPr>
    </w:p>
    <w:p>
      <w:pPr>
        <w:spacing w:line="360" w:lineRule="auto"/>
        <w:ind w:firstLine="630" w:firstLineChars="300"/>
      </w:pPr>
    </w:p>
    <w:p>
      <w:pPr>
        <w:spacing w:line="360" w:lineRule="auto"/>
      </w:pPr>
    </w:p>
    <w:p>
      <w:pPr>
        <w:rPr>
          <w:rFonts w:eastAsia="黑体"/>
          <w:sz w:val="18"/>
        </w:rPr>
      </w:pPr>
    </w:p>
    <w:p>
      <w:pPr>
        <w:rPr>
          <w:rFonts w:eastAsia="黑体"/>
          <w:sz w:val="18"/>
        </w:rPr>
      </w:pPr>
    </w:p>
    <w:p>
      <w:pPr>
        <w:rPr>
          <w:rFonts w:eastAsia="黑体"/>
          <w:sz w:val="18"/>
        </w:rPr>
      </w:pPr>
    </w:p>
    <w:p>
      <w:pPr>
        <w:rPr>
          <w:rFonts w:eastAsia="黑体"/>
          <w:sz w:val="18"/>
        </w:rPr>
      </w:pPr>
    </w:p>
    <w:p>
      <w:pPr>
        <w:rPr>
          <w:rFonts w:eastAsia="黑体"/>
          <w:sz w:val="18"/>
        </w:rPr>
      </w:pPr>
    </w:p>
    <w:p>
      <w:pPr>
        <w:ind w:firstLine="420" w:firstLineChars="200"/>
        <w:rPr>
          <w:rFonts w:eastAsia="黑体"/>
          <w:sz w:val="28"/>
          <w:szCs w:val="28"/>
        </w:rPr>
      </w:pPr>
      <w:r>
        <w:pict>
          <v:line id="Line 3" o:spid="_x0000_s1065" o:spt="20" style="position:absolute;left:0pt;margin-left:-8.7pt;margin-top:655.65pt;height:0pt;width:467.7pt;mso-position-vertical-relative:page;z-index:251663360;mso-width-relative:page;mso-height-relative:page;" coordsize="21600,21600" o:gfxdata="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GcnT81wAAAA0BAAAPAAAAAAAAAAEAIAAAACIAAABk&#10;cnMvZG93bnJldi54bWxQSwECFAAUAAAACACHTuJAo81+bM4BAACuAwAADgAAAAAAAAABACAAAAAm&#10;AQAAZHJzL2Uyb0RvYy54bWxQSwUGAAAAAAYABgBZAQAAZgUAAAAA&#10;">
            <v:path arrowok="t"/>
            <v:fill focussize="0,0"/>
            <v:stroke weight="1.5pt"/>
            <v:imagedata o:title=""/>
            <o:lock v:ext="edit"/>
          </v:line>
        </w:pict>
      </w:r>
      <w:r>
        <w:rPr>
          <w:rFonts w:hint="eastAsia" w:ascii="黑体" w:hAnsi="黑体" w:eastAsia="黑体"/>
          <w:sz w:val="28"/>
          <w:szCs w:val="28"/>
        </w:rPr>
        <w:t>202×-××-××发布</w:t>
      </w:r>
      <w:r>
        <w:rPr>
          <w:rFonts w:hint="eastAsia" w:ascii="黑体" w:hAnsi="黑体" w:eastAsia="黑体"/>
          <w:sz w:val="28"/>
          <w:szCs w:val="28"/>
          <w:lang w:val="en-US" w:eastAsia="zh-CN"/>
        </w:rPr>
        <w:t xml:space="preserve">                  </w:t>
      </w:r>
      <w:r>
        <w:rPr>
          <w:rFonts w:hint="eastAsia" w:ascii="黑体" w:hAnsi="黑体" w:eastAsia="黑体"/>
          <w:sz w:val="28"/>
          <w:szCs w:val="28"/>
        </w:rPr>
        <w:t>202×-××-××实施</w:t>
      </w:r>
    </w:p>
    <w:p>
      <w:pPr>
        <w:jc w:val="center"/>
        <w:rPr>
          <w:rFonts w:eastAsia="黑体"/>
          <w:sz w:val="28"/>
          <w:szCs w:val="28"/>
        </w:rPr>
        <w:sectPr>
          <w:headerReference r:id="rId3" w:type="default"/>
          <w:pgSz w:w="11906" w:h="16838"/>
          <w:pgMar w:top="1440" w:right="1797" w:bottom="1440" w:left="1797" w:header="851" w:footer="992" w:gutter="0"/>
          <w:pgNumType w:start="1"/>
          <w:cols w:space="720" w:num="1"/>
          <w:docGrid w:type="lines" w:linePitch="312" w:charSpace="0"/>
        </w:sectPr>
      </w:pPr>
      <w:r>
        <w:rPr>
          <w:rFonts w:hint="eastAsia" w:ascii="宋体" w:hAnsi="宋体"/>
          <w:b/>
          <w:sz w:val="44"/>
          <w:szCs w:val="44"/>
        </w:rPr>
        <w:t>湖 北 省 市 场 监 督 管 理</w:t>
      </w:r>
      <w:r>
        <w:rPr>
          <w:rFonts w:hint="eastAsia" w:ascii="宋体" w:hAnsi="宋体"/>
          <w:b/>
          <w:sz w:val="44"/>
          <w:szCs w:val="44"/>
          <w:lang w:val="en-US" w:eastAsia="zh-CN"/>
        </w:rPr>
        <w:t xml:space="preserve"> </w:t>
      </w:r>
      <w:bookmarkStart w:id="0" w:name="_GoBack"/>
      <w:bookmarkEnd w:id="0"/>
      <w:r>
        <w:rPr>
          <w:rFonts w:hint="eastAsia" w:ascii="宋体" w:hAnsi="宋体"/>
          <w:b/>
          <w:sz w:val="44"/>
          <w:szCs w:val="44"/>
        </w:rPr>
        <w:t>局</w:t>
      </w:r>
      <w:r>
        <w:rPr>
          <w:rFonts w:hint="eastAsia" w:ascii="黑体" w:hAnsi="黑体" w:eastAsia="黑体"/>
          <w:sz w:val="28"/>
          <w:szCs w:val="28"/>
        </w:rPr>
        <w:t>××</w:t>
      </w:r>
    </w:p>
    <w:p>
      <w:pPr>
        <w:tabs>
          <w:tab w:val="center" w:pos="4156"/>
        </w:tabs>
        <w:spacing w:beforeLines="200" w:afterLines="50" w:line="360" w:lineRule="auto"/>
        <w:ind w:firstLine="360" w:firstLineChars="100"/>
        <w:rPr>
          <w:rFonts w:ascii="黑体" w:hAnsi="黑体" w:eastAsia="黑体"/>
          <w:sz w:val="36"/>
          <w:szCs w:val="36"/>
        </w:rPr>
      </w:pPr>
      <w:r>
        <w:rPr>
          <w:rFonts w:ascii="黑体" w:hAnsi="黑体" w:eastAsia="黑体"/>
          <w:sz w:val="36"/>
          <w:szCs w:val="36"/>
        </w:rPr>
        <w:pict>
          <v:shape id="文本框 119" o:spid="_x0000_s1064" o:spt="202" type="#_x0000_t202" style="position:absolute;left:0pt;margin-left:277.25pt;margin-top:29.6pt;height:38.55pt;width:133pt;z-index:251661312;mso-width-relative:page;mso-height-relative:page;" stroked="f" coordsize="21600,21600" o:gfxdata="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NCACWXXAAAACgEAAA8AAAAAAAAAAQAgAAAAIgAAAGRycy9kb3ducmV2LnhtbFBL&#10;AQIUABQAAAAIAIdO4kDsg0L0MAIAAE4EAAAOAAAAAAAAAAEAIAAAACYBAABkcnMvZTJvRG9jLnht&#10;bFBLBQYAAAAABgAGAFkBAADIBQAAAAA=&#10;">
            <v:path/>
            <v:fill focussize="0,0"/>
            <v:stroke on="f" joinstyle="miter"/>
            <v:imagedata o:title=""/>
            <o:lock v:ext="edit"/>
            <v:textbox>
              <w:txbxContent>
                <w:p>
                  <w:pPr>
                    <w:rPr>
                      <w:rFonts w:ascii="黑体" w:hAnsi="黑体" w:eastAsia="黑体"/>
                      <w:sz w:val="28"/>
                      <w:szCs w:val="28"/>
                    </w:rPr>
                  </w:pPr>
                  <w:r>
                    <w:rPr>
                      <w:rFonts w:hint="eastAsia" w:ascii="黑体" w:hAnsi="黑体" w:eastAsia="黑体"/>
                      <w:sz w:val="28"/>
                      <w:szCs w:val="28"/>
                    </w:rPr>
                    <w:t>JJF (鄂)  -2023</w:t>
                  </w:r>
                </w:p>
              </w:txbxContent>
            </v:textbox>
          </v:shape>
        </w:pict>
      </w:r>
      <w:r>
        <w:rPr>
          <w:rFonts w:ascii="黑体" w:hAnsi="黑体" w:eastAsia="黑体"/>
          <w:sz w:val="36"/>
          <w:szCs w:val="36"/>
        </w:rPr>
        <w:drawing>
          <wp:anchor distT="0" distB="0" distL="114300" distR="114300" simplePos="0" relativeHeight="251659264" behindDoc="1" locked="0" layoutInCell="1" allowOverlap="1">
            <wp:simplePos x="0" y="0"/>
            <wp:positionH relativeFrom="column">
              <wp:posOffset>3383280</wp:posOffset>
            </wp:positionH>
            <wp:positionV relativeFrom="paragraph">
              <wp:posOffset>176530</wp:posOffset>
            </wp:positionV>
            <wp:extent cx="1892300" cy="935355"/>
            <wp:effectExtent l="0" t="0" r="0" b="0"/>
            <wp:wrapNone/>
            <wp:docPr id="120" name="图片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12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892300" cy="935355"/>
                    </a:xfrm>
                    <a:prstGeom prst="rect">
                      <a:avLst/>
                    </a:prstGeom>
                    <a:noFill/>
                    <a:ln>
                      <a:noFill/>
                    </a:ln>
                  </pic:spPr>
                </pic:pic>
              </a:graphicData>
            </a:graphic>
          </wp:anchor>
        </w:drawing>
      </w:r>
      <w:r>
        <w:rPr>
          <w:rFonts w:hint="eastAsia" w:ascii="黑体" w:hAnsi="黑体" w:eastAsia="黑体"/>
          <w:sz w:val="36"/>
          <w:szCs w:val="36"/>
        </w:rPr>
        <w:t>电梯综合测试仪校准规范</w:t>
      </w:r>
      <w:r>
        <w:rPr>
          <w:rFonts w:hint="eastAsia" w:ascii="黑体" w:hAnsi="黑体" w:eastAsia="黑体"/>
          <w:sz w:val="36"/>
          <w:szCs w:val="36"/>
        </w:rPr>
        <w:tab/>
      </w:r>
    </w:p>
    <w:p>
      <w:pPr>
        <w:snapToGrid w:val="0"/>
        <w:spacing w:line="360" w:lineRule="auto"/>
        <w:ind w:firstLine="967" w:firstLineChars="344"/>
        <w:rPr>
          <w:rFonts w:ascii="黑体" w:hAnsi="黑体" w:eastAsia="黑体"/>
          <w:b/>
          <w:sz w:val="28"/>
          <w:szCs w:val="28"/>
        </w:rPr>
      </w:pPr>
      <w:r>
        <w:rPr>
          <w:rFonts w:ascii="黑体" w:hAnsi="黑体" w:eastAsia="黑体"/>
          <w:b/>
          <w:sz w:val="28"/>
          <w:szCs w:val="28"/>
        </w:rPr>
        <w:t xml:space="preserve">Calibration </w:t>
      </w:r>
      <w:r>
        <w:rPr>
          <w:rFonts w:hint="eastAsia" w:ascii="黑体" w:hAnsi="黑体" w:eastAsia="黑体"/>
          <w:b/>
          <w:sz w:val="28"/>
          <w:szCs w:val="28"/>
        </w:rPr>
        <w:t>S</w:t>
      </w:r>
      <w:r>
        <w:rPr>
          <w:rFonts w:ascii="黑体" w:hAnsi="黑体" w:eastAsia="黑体"/>
          <w:b/>
          <w:sz w:val="28"/>
          <w:szCs w:val="28"/>
        </w:rPr>
        <w:t xml:space="preserve">pecification </w:t>
      </w:r>
    </w:p>
    <w:p>
      <w:pPr>
        <w:snapToGrid w:val="0"/>
        <w:spacing w:line="360" w:lineRule="auto"/>
        <w:ind w:firstLine="967" w:firstLineChars="344"/>
        <w:rPr>
          <w:rFonts w:ascii="黑体" w:hAnsi="黑体" w:eastAsia="黑体"/>
          <w:b/>
          <w:sz w:val="28"/>
          <w:szCs w:val="28"/>
        </w:rPr>
      </w:pPr>
      <w:r>
        <w:rPr>
          <w:rFonts w:ascii="黑体" w:hAnsi="黑体" w:eastAsia="黑体"/>
          <w:b/>
          <w:sz w:val="28"/>
          <w:szCs w:val="28"/>
        </w:rPr>
        <w:t>forelevator acceleration and deceleration tester</w:t>
      </w:r>
    </w:p>
    <w:p>
      <w:pPr>
        <w:spacing w:beforeLines="150" w:line="360" w:lineRule="auto"/>
        <w:rPr>
          <w:u w:val="single"/>
        </w:rPr>
      </w:pPr>
      <w:r>
        <w:rPr>
          <w:u w:val="single"/>
        </w:rPr>
        <w:pict>
          <v:line id="_x0000_s1063" o:spid="_x0000_s1063" o:spt="20" style="position:absolute;left:0pt;margin-left:1.1pt;margin-top:4.05pt;height:0.65pt;width:414.35pt;z-index:251664384;mso-width-relative:page;mso-height-relative:page;" coordsize="21600,21600" o:gfxdata="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WHwbF1QAAAAUBAAAP&#10;AAAAAAAAAAEAIAAAACIAAABkcnMvZG93bnJldi54bWxQSwECFAAUAAAACACHTuJA+17CzeIBAACs&#10;AwAADgAAAAAAAAABACAAAAAkAQAAZHJzL2Uyb0RvYy54bWxQSwUGAAAAAAYABgBZAQAAeAUAAAAA&#10;">
            <v:path arrowok="t"/>
            <v:fill focussize="0,0"/>
            <v:stroke weight="1pt"/>
            <v:imagedata o:title=""/>
            <o:lock v:ext="edit"/>
          </v:line>
        </w:pict>
      </w:r>
    </w:p>
    <w:p>
      <w:pPr>
        <w:spacing w:line="360" w:lineRule="auto"/>
      </w:pPr>
    </w:p>
    <w:p>
      <w:pPr>
        <w:spacing w:line="360" w:lineRule="auto"/>
        <w:ind w:firstLine="630" w:firstLineChars="300"/>
      </w:pPr>
    </w:p>
    <w:p>
      <w:pPr>
        <w:spacing w:line="360" w:lineRule="auto"/>
        <w:ind w:firstLine="630" w:firstLineChars="300"/>
      </w:pPr>
    </w:p>
    <w:p>
      <w:pPr>
        <w:spacing w:line="360" w:lineRule="auto"/>
      </w:pPr>
    </w:p>
    <w:p>
      <w:pPr>
        <w:spacing w:line="360" w:lineRule="auto"/>
      </w:pPr>
    </w:p>
    <w:p>
      <w:pPr>
        <w:spacing w:line="360" w:lineRule="auto"/>
      </w:pPr>
    </w:p>
    <w:p>
      <w:pPr>
        <w:spacing w:line="360" w:lineRule="auto"/>
        <w:ind w:firstLine="630" w:firstLineChars="300"/>
      </w:pPr>
    </w:p>
    <w:p>
      <w:pPr>
        <w:spacing w:line="360" w:lineRule="auto"/>
        <w:ind w:firstLine="840" w:firstLineChars="300"/>
        <w:rPr>
          <w:rFonts w:ascii="黑体" w:hAnsi="黑体" w:eastAsia="黑体"/>
          <w:sz w:val="28"/>
          <w:szCs w:val="28"/>
        </w:rPr>
      </w:pPr>
      <w:r>
        <w:rPr>
          <w:rFonts w:hint="eastAsia" w:ascii="黑体" w:hAnsi="黑体" w:eastAsia="黑体"/>
          <w:sz w:val="28"/>
          <w:szCs w:val="28"/>
        </w:rPr>
        <w:t>归 口 单 位：</w:t>
      </w:r>
      <w:r>
        <w:rPr>
          <w:rFonts w:hint="eastAsia" w:ascii="宋体" w:hAnsi="宋体"/>
          <w:sz w:val="28"/>
          <w:szCs w:val="28"/>
        </w:rPr>
        <w:t>湖北省市场监督管理局</w:t>
      </w:r>
    </w:p>
    <w:p>
      <w:pPr>
        <w:spacing w:line="360" w:lineRule="auto"/>
        <w:ind w:firstLine="840" w:firstLineChars="300"/>
        <w:rPr>
          <w:rFonts w:ascii="黑体" w:hAnsi="黑体" w:eastAsia="黑体"/>
          <w:sz w:val="28"/>
          <w:szCs w:val="28"/>
        </w:rPr>
      </w:pPr>
      <w:r>
        <w:rPr>
          <w:rFonts w:hint="eastAsia" w:ascii="黑体" w:hAnsi="黑体" w:eastAsia="黑体"/>
          <w:sz w:val="28"/>
          <w:szCs w:val="28"/>
        </w:rPr>
        <w:t>主要起草单位：</w:t>
      </w:r>
      <w:r>
        <w:rPr>
          <w:rFonts w:hint="eastAsia" w:ascii="宋体" w:hAnsi="宋体"/>
          <w:sz w:val="28"/>
          <w:szCs w:val="28"/>
        </w:rPr>
        <w:t>湖北省计量测试技术研究院</w:t>
      </w:r>
    </w:p>
    <w:p>
      <w:pPr>
        <w:spacing w:line="360" w:lineRule="auto"/>
        <w:ind w:firstLine="840" w:firstLineChars="300"/>
        <w:rPr>
          <w:rFonts w:ascii="宋体" w:hAnsi="宋体"/>
          <w:sz w:val="28"/>
          <w:szCs w:val="28"/>
        </w:rPr>
      </w:pPr>
      <w:r>
        <w:rPr>
          <w:rFonts w:hint="eastAsia" w:ascii="黑体" w:hAnsi="黑体" w:eastAsia="黑体"/>
          <w:sz w:val="28"/>
          <w:szCs w:val="28"/>
        </w:rPr>
        <w:t>参加起草单位：</w:t>
      </w:r>
      <w:r>
        <w:rPr>
          <w:rFonts w:ascii="宋体" w:hAnsi="宋体"/>
          <w:sz w:val="28"/>
          <w:szCs w:val="28"/>
        </w:rPr>
        <w:t>湖北省电子信息产品质量监督检验院</w:t>
      </w:r>
    </w:p>
    <w:p>
      <w:pPr>
        <w:spacing w:line="360" w:lineRule="auto"/>
        <w:ind w:firstLine="2800" w:firstLineChars="1000"/>
        <w:rPr>
          <w:rFonts w:ascii="黑体" w:hAnsi="黑体" w:eastAsia="黑体"/>
          <w:sz w:val="28"/>
          <w:szCs w:val="28"/>
        </w:rPr>
      </w:pPr>
      <w:r>
        <w:rPr>
          <w:rFonts w:hint="eastAsia" w:asciiTheme="minorEastAsia" w:hAnsiTheme="minorEastAsia" w:eastAsiaTheme="minorEastAsia"/>
          <w:sz w:val="28"/>
          <w:szCs w:val="28"/>
        </w:rPr>
        <w:t>国家无损检测设备质量检验检测中心（湖北）</w:t>
      </w:r>
    </w:p>
    <w:p>
      <w:pPr>
        <w:spacing w:line="360" w:lineRule="auto"/>
        <w:rPr>
          <w:rFonts w:ascii="黑体" w:hAnsi="黑体" w:eastAsia="黑体"/>
          <w:sz w:val="28"/>
          <w:szCs w:val="28"/>
        </w:rPr>
      </w:pPr>
    </w:p>
    <w:p>
      <w:pPr>
        <w:spacing w:line="360" w:lineRule="auto"/>
      </w:pPr>
    </w:p>
    <w:p>
      <w:pPr>
        <w:spacing w:line="360" w:lineRule="auto"/>
      </w:pPr>
    </w:p>
    <w:p>
      <w:pPr>
        <w:spacing w:line="360" w:lineRule="auto"/>
        <w:ind w:firstLine="630" w:firstLineChars="300"/>
      </w:pPr>
    </w:p>
    <w:p>
      <w:pPr>
        <w:spacing w:line="360" w:lineRule="auto"/>
        <w:ind w:firstLine="630" w:firstLineChars="300"/>
      </w:pPr>
    </w:p>
    <w:p>
      <w:pPr>
        <w:spacing w:line="360" w:lineRule="auto"/>
        <w:ind w:firstLine="630" w:firstLineChars="300"/>
      </w:pPr>
    </w:p>
    <w:p>
      <w:pPr>
        <w:spacing w:line="360" w:lineRule="auto"/>
        <w:ind w:firstLine="630" w:firstLineChars="300"/>
      </w:pPr>
    </w:p>
    <w:p>
      <w:pPr>
        <w:spacing w:line="360" w:lineRule="auto"/>
        <w:jc w:val="center"/>
        <w:rPr>
          <w:rFonts w:ascii="黑体" w:hAnsi="黑体" w:eastAsia="黑体"/>
          <w:sz w:val="28"/>
          <w:szCs w:val="28"/>
        </w:rPr>
      </w:pPr>
      <w:r>
        <w:rPr>
          <w:rFonts w:hint="eastAsia" w:ascii="宋体" w:hAnsi="宋体"/>
          <w:sz w:val="28"/>
          <w:szCs w:val="28"/>
        </w:rPr>
        <w:t>本规范委托湖北省计量测试技术研究院负责解释</w:t>
      </w:r>
    </w:p>
    <w:p>
      <w:pPr>
        <w:spacing w:line="360" w:lineRule="auto"/>
        <w:ind w:firstLine="562" w:firstLineChars="200"/>
        <w:rPr>
          <w:rFonts w:ascii="黑体" w:hAnsi="黑体" w:eastAsia="黑体"/>
          <w:b/>
          <w:sz w:val="28"/>
          <w:szCs w:val="28"/>
        </w:rPr>
      </w:pPr>
    </w:p>
    <w:p>
      <w:pPr>
        <w:spacing w:line="360" w:lineRule="auto"/>
        <w:ind w:firstLine="562" w:firstLineChars="200"/>
        <w:rPr>
          <w:rFonts w:ascii="黑体" w:hAnsi="黑体" w:eastAsia="黑体"/>
          <w:b/>
          <w:sz w:val="28"/>
          <w:szCs w:val="28"/>
        </w:rPr>
      </w:pPr>
    </w:p>
    <w:p>
      <w:pPr>
        <w:spacing w:line="360" w:lineRule="auto"/>
        <w:rPr>
          <w:rFonts w:ascii="黑体" w:hAnsi="黑体" w:eastAsia="黑体"/>
          <w:b/>
          <w:sz w:val="28"/>
          <w:szCs w:val="28"/>
        </w:rPr>
      </w:pPr>
    </w:p>
    <w:p>
      <w:pPr>
        <w:spacing w:line="360" w:lineRule="auto"/>
        <w:rPr>
          <w:rFonts w:ascii="黑体" w:hAnsi="黑体" w:eastAsia="黑体"/>
          <w:b/>
          <w:sz w:val="28"/>
          <w:szCs w:val="28"/>
        </w:rPr>
      </w:pPr>
    </w:p>
    <w:p>
      <w:pPr>
        <w:spacing w:line="360" w:lineRule="auto"/>
        <w:ind w:firstLine="562" w:firstLineChars="200"/>
        <w:rPr>
          <w:rFonts w:ascii="黑体" w:hAnsi="黑体" w:eastAsia="黑体"/>
          <w:b/>
          <w:sz w:val="28"/>
          <w:szCs w:val="28"/>
        </w:rPr>
      </w:pPr>
      <w:r>
        <w:rPr>
          <w:rFonts w:hint="eastAsia" w:ascii="黑体" w:hAnsi="黑体" w:eastAsia="黑体"/>
          <w:b/>
          <w:sz w:val="28"/>
          <w:szCs w:val="28"/>
        </w:rPr>
        <w:t>本规范主要起草人：</w:t>
      </w:r>
    </w:p>
    <w:p>
      <w:pPr>
        <w:ind w:firstLine="1960" w:firstLineChars="700"/>
        <w:rPr>
          <w:rFonts w:asciiTheme="minorEastAsia" w:hAnsiTheme="minorEastAsia" w:eastAsiaTheme="minorEastAsia"/>
          <w:sz w:val="28"/>
          <w:szCs w:val="28"/>
        </w:rPr>
      </w:pPr>
      <w:r>
        <w:rPr>
          <w:rFonts w:hint="eastAsia" w:asciiTheme="minorEastAsia" w:hAnsiTheme="minorEastAsia" w:eastAsiaTheme="minorEastAsia"/>
          <w:sz w:val="28"/>
          <w:szCs w:val="28"/>
        </w:rPr>
        <w:t>徐爱华（湖北省计量测试技术研究院）</w:t>
      </w:r>
    </w:p>
    <w:p>
      <w:pPr>
        <w:ind w:firstLine="1960" w:firstLineChars="700"/>
        <w:rPr>
          <w:rFonts w:asciiTheme="minorEastAsia" w:hAnsiTheme="minorEastAsia" w:eastAsiaTheme="minorEastAsia"/>
          <w:sz w:val="28"/>
          <w:szCs w:val="28"/>
        </w:rPr>
      </w:pPr>
      <w:r>
        <w:rPr>
          <w:rFonts w:hint="eastAsia" w:asciiTheme="minorEastAsia" w:hAnsiTheme="minorEastAsia" w:eastAsiaTheme="minorEastAsia"/>
          <w:sz w:val="28"/>
          <w:szCs w:val="28"/>
        </w:rPr>
        <w:t>忻  斌（湖北省计量测试技术研究院）</w:t>
      </w:r>
    </w:p>
    <w:p>
      <w:pPr>
        <w:ind w:firstLine="1960" w:firstLineChars="700"/>
        <w:rPr>
          <w:rFonts w:asciiTheme="minorEastAsia" w:hAnsiTheme="minorEastAsia" w:eastAsiaTheme="minorEastAsia"/>
          <w:sz w:val="28"/>
          <w:szCs w:val="28"/>
        </w:rPr>
      </w:pPr>
      <w:r>
        <w:rPr>
          <w:rFonts w:hint="eastAsia" w:asciiTheme="minorEastAsia" w:hAnsiTheme="minorEastAsia" w:eastAsiaTheme="minorEastAsia"/>
          <w:sz w:val="28"/>
          <w:szCs w:val="28"/>
        </w:rPr>
        <w:t>李天添（湖北省计量测试技术研究院）</w:t>
      </w:r>
    </w:p>
    <w:p>
      <w:pPr>
        <w:ind w:firstLine="1960" w:firstLineChars="700"/>
        <w:rPr>
          <w:rFonts w:asciiTheme="minorEastAsia" w:hAnsiTheme="minorEastAsia" w:eastAsiaTheme="minorEastAsia"/>
          <w:sz w:val="28"/>
          <w:szCs w:val="28"/>
        </w:rPr>
      </w:pPr>
      <w:r>
        <w:rPr>
          <w:rFonts w:hint="eastAsia" w:asciiTheme="minorEastAsia" w:hAnsiTheme="minorEastAsia" w:eastAsiaTheme="minorEastAsia"/>
          <w:sz w:val="28"/>
          <w:szCs w:val="28"/>
        </w:rPr>
        <w:t>刘鹏飞（湖北省计量测试技术研究院）</w:t>
      </w:r>
    </w:p>
    <w:p>
      <w:pPr>
        <w:spacing w:line="360" w:lineRule="auto"/>
        <w:ind w:firstLine="1397" w:firstLineChars="497"/>
        <w:rPr>
          <w:rFonts w:ascii="黑体" w:hAnsi="黑体" w:eastAsia="黑体"/>
          <w:b/>
          <w:sz w:val="28"/>
          <w:szCs w:val="28"/>
        </w:rPr>
      </w:pPr>
      <w:r>
        <w:rPr>
          <w:rFonts w:hint="eastAsia" w:ascii="黑体" w:hAnsi="黑体" w:eastAsia="黑体"/>
          <w:b/>
          <w:sz w:val="28"/>
          <w:szCs w:val="28"/>
        </w:rPr>
        <w:t>参加起草人：</w:t>
      </w:r>
    </w:p>
    <w:p>
      <w:pPr>
        <w:ind w:firstLine="1960" w:firstLineChars="700"/>
        <w:rPr>
          <w:rFonts w:asciiTheme="minorEastAsia" w:hAnsiTheme="minorEastAsia" w:eastAsiaTheme="minorEastAsia"/>
          <w:sz w:val="28"/>
          <w:szCs w:val="28"/>
        </w:rPr>
      </w:pPr>
      <w:r>
        <w:rPr>
          <w:rFonts w:hint="eastAsia" w:asciiTheme="minorEastAsia" w:hAnsiTheme="minorEastAsia" w:eastAsiaTheme="minorEastAsia"/>
          <w:sz w:val="28"/>
          <w:szCs w:val="28"/>
        </w:rPr>
        <w:t>夏晓玲（</w:t>
      </w:r>
      <w:r>
        <w:rPr>
          <w:rFonts w:ascii="宋体" w:hAnsi="宋体"/>
          <w:sz w:val="28"/>
          <w:szCs w:val="28"/>
        </w:rPr>
        <w:t>湖北省电子信息产品质量监督检验院</w:t>
      </w:r>
      <w:r>
        <w:rPr>
          <w:rFonts w:hint="eastAsia" w:asciiTheme="minorEastAsia" w:hAnsiTheme="minorEastAsia" w:eastAsiaTheme="minorEastAsia"/>
          <w:sz w:val="28"/>
          <w:szCs w:val="28"/>
        </w:rPr>
        <w:t>）</w:t>
      </w:r>
    </w:p>
    <w:p>
      <w:pPr>
        <w:ind w:firstLine="1960" w:firstLineChars="700"/>
        <w:rPr>
          <w:rFonts w:asciiTheme="minorEastAsia" w:hAnsiTheme="minorEastAsia" w:eastAsiaTheme="minorEastAsia"/>
          <w:sz w:val="28"/>
          <w:szCs w:val="28"/>
        </w:rPr>
      </w:pPr>
      <w:r>
        <w:rPr>
          <w:rFonts w:hint="eastAsia" w:asciiTheme="minorEastAsia" w:hAnsiTheme="minorEastAsia" w:eastAsiaTheme="minorEastAsia"/>
          <w:sz w:val="28"/>
          <w:szCs w:val="28"/>
        </w:rPr>
        <w:t>蔡芳芳（湖北省计量测试技术研究院）</w:t>
      </w:r>
    </w:p>
    <w:p>
      <w:pPr>
        <w:ind w:firstLine="1960" w:firstLineChars="700"/>
        <w:rPr>
          <w:rFonts w:asciiTheme="minorEastAsia" w:hAnsiTheme="minorEastAsia" w:eastAsiaTheme="minorEastAsia"/>
          <w:sz w:val="28"/>
          <w:szCs w:val="28"/>
        </w:rPr>
      </w:pPr>
      <w:r>
        <w:rPr>
          <w:rFonts w:hint="eastAsia" w:asciiTheme="minorEastAsia" w:hAnsiTheme="minorEastAsia" w:eastAsiaTheme="minorEastAsia"/>
          <w:sz w:val="28"/>
          <w:szCs w:val="28"/>
        </w:rPr>
        <w:t>李皓琳（国家无损检测设备质量检验检测中心（湖北））</w:t>
      </w:r>
    </w:p>
    <w:p>
      <w:pPr>
        <w:ind w:firstLine="1960" w:firstLineChars="700"/>
        <w:rPr>
          <w:rFonts w:asciiTheme="minorEastAsia" w:hAnsiTheme="minorEastAsia" w:eastAsiaTheme="minorEastAsia"/>
          <w:sz w:val="28"/>
          <w:szCs w:val="28"/>
        </w:rPr>
      </w:pPr>
      <w:r>
        <w:rPr>
          <w:rFonts w:hint="eastAsia" w:asciiTheme="minorEastAsia" w:hAnsiTheme="minorEastAsia" w:eastAsiaTheme="minorEastAsia"/>
          <w:sz w:val="28"/>
          <w:szCs w:val="28"/>
        </w:rPr>
        <w:t>肖  梅（国家无损检测设备质量检验检测中心（湖北））</w:t>
      </w:r>
    </w:p>
    <w:p>
      <w:pPr>
        <w:spacing w:line="360" w:lineRule="auto"/>
      </w:pPr>
    </w:p>
    <w:p>
      <w:pPr>
        <w:spacing w:line="360" w:lineRule="auto"/>
        <w:ind w:firstLine="630" w:firstLineChars="300"/>
      </w:pPr>
    </w:p>
    <w:p>
      <w:pPr>
        <w:spacing w:line="360" w:lineRule="auto"/>
        <w:ind w:firstLine="630" w:firstLineChars="300"/>
      </w:pPr>
    </w:p>
    <w:p>
      <w:pPr>
        <w:spacing w:line="360" w:lineRule="auto"/>
        <w:ind w:firstLine="630" w:firstLineChars="300"/>
      </w:pPr>
    </w:p>
    <w:p>
      <w:pPr>
        <w:spacing w:line="360" w:lineRule="auto"/>
      </w:pPr>
    </w:p>
    <w:p>
      <w:pPr>
        <w:spacing w:line="360" w:lineRule="auto"/>
      </w:pPr>
    </w:p>
    <w:p>
      <w:pPr>
        <w:spacing w:line="360" w:lineRule="auto"/>
      </w:pPr>
    </w:p>
    <w:p>
      <w:pPr>
        <w:spacing w:line="360" w:lineRule="auto"/>
      </w:pPr>
    </w:p>
    <w:p>
      <w:pPr>
        <w:spacing w:line="360" w:lineRule="auto"/>
        <w:ind w:firstLine="630" w:firstLineChars="300"/>
      </w:pPr>
    </w:p>
    <w:p>
      <w:pPr>
        <w:spacing w:line="360" w:lineRule="auto"/>
        <w:ind w:firstLine="630" w:firstLineChars="300"/>
      </w:pPr>
    </w:p>
    <w:p>
      <w:pPr>
        <w:spacing w:line="360" w:lineRule="auto"/>
      </w:pPr>
    </w:p>
    <w:p>
      <w:pPr>
        <w:spacing w:beforeLines="50" w:afterLines="50" w:line="360" w:lineRule="auto"/>
        <w:jc w:val="center"/>
        <w:rPr>
          <w:rFonts w:ascii="黑体" w:hAnsi="黑体" w:eastAsia="黑体"/>
          <w:sz w:val="44"/>
          <w:szCs w:val="44"/>
        </w:rPr>
      </w:pPr>
      <w:r>
        <w:rPr>
          <w:rFonts w:hint="eastAsia" w:ascii="黑体" w:hAnsi="黑体" w:eastAsia="黑体"/>
          <w:sz w:val="44"/>
          <w:szCs w:val="44"/>
        </w:rPr>
        <w:t>目    录</w:t>
      </w:r>
    </w:p>
    <w:p>
      <w:pPr>
        <w:tabs>
          <w:tab w:val="right" w:leader="middleDot" w:pos="8312"/>
        </w:tabs>
        <w:spacing w:line="360" w:lineRule="auto"/>
        <w:rPr>
          <w:rFonts w:ascii="宋体" w:hAnsi="宋体"/>
          <w:sz w:val="24"/>
        </w:rPr>
      </w:pPr>
      <w:r>
        <w:rPr>
          <w:rFonts w:hint="eastAsia" w:ascii="宋体" w:hAnsi="宋体"/>
          <w:sz w:val="24"/>
        </w:rPr>
        <w:t xml:space="preserve">引言 </w:t>
      </w:r>
      <w:r>
        <w:rPr>
          <w:sz w:val="24"/>
        </w:rPr>
        <w:tab/>
      </w:r>
      <w:r>
        <w:rPr>
          <w:rFonts w:hint="eastAsia" w:ascii="宋体" w:hAnsi="宋体"/>
          <w:sz w:val="24"/>
        </w:rPr>
        <w:t>（II）</w:t>
      </w:r>
    </w:p>
    <w:p>
      <w:pPr>
        <w:tabs>
          <w:tab w:val="right" w:leader="middleDot" w:pos="8312"/>
        </w:tabs>
        <w:spacing w:line="360" w:lineRule="auto"/>
        <w:rPr>
          <w:rFonts w:ascii="宋体" w:hAnsi="宋体"/>
          <w:sz w:val="24"/>
        </w:rPr>
      </w:pPr>
      <w:r>
        <w:rPr>
          <w:rFonts w:hint="eastAsia" w:ascii="宋体" w:hAnsi="宋体"/>
          <w:sz w:val="24"/>
        </w:rPr>
        <w:t xml:space="preserve">1  范围 </w:t>
      </w:r>
      <w:r>
        <w:rPr>
          <w:rFonts w:hint="eastAsia"/>
          <w:sz w:val="24"/>
        </w:rPr>
        <w:tab/>
      </w:r>
      <w:r>
        <w:rPr>
          <w:rFonts w:hint="eastAsia" w:ascii="宋体" w:hAnsi="宋体"/>
          <w:sz w:val="24"/>
        </w:rPr>
        <w:t>（1）</w:t>
      </w:r>
    </w:p>
    <w:p>
      <w:pPr>
        <w:tabs>
          <w:tab w:val="right" w:leader="middleDot" w:pos="8312"/>
        </w:tabs>
        <w:spacing w:line="360" w:lineRule="auto"/>
        <w:rPr>
          <w:rFonts w:ascii="宋体" w:hAnsi="宋体"/>
          <w:sz w:val="24"/>
        </w:rPr>
      </w:pPr>
      <w:r>
        <w:rPr>
          <w:rFonts w:hint="eastAsia" w:ascii="宋体" w:hAnsi="宋体"/>
          <w:sz w:val="24"/>
        </w:rPr>
        <w:t xml:space="preserve">2  引用文件 </w:t>
      </w:r>
      <w:r>
        <w:rPr>
          <w:rFonts w:hint="eastAsia"/>
          <w:sz w:val="24"/>
        </w:rPr>
        <w:tab/>
      </w:r>
      <w:r>
        <w:rPr>
          <w:rFonts w:hint="eastAsia" w:ascii="宋体" w:hAnsi="宋体"/>
          <w:sz w:val="24"/>
        </w:rPr>
        <w:t>（1）</w:t>
      </w:r>
    </w:p>
    <w:p>
      <w:pPr>
        <w:tabs>
          <w:tab w:val="right" w:leader="middleDot" w:pos="8312"/>
        </w:tabs>
        <w:spacing w:line="360" w:lineRule="auto"/>
        <w:rPr>
          <w:rFonts w:ascii="宋体" w:hAnsi="宋体"/>
          <w:sz w:val="24"/>
        </w:rPr>
      </w:pPr>
      <w:r>
        <w:rPr>
          <w:rFonts w:hint="eastAsia" w:ascii="宋体" w:hAnsi="宋体"/>
          <w:sz w:val="24"/>
        </w:rPr>
        <w:t xml:space="preserve">3  术语和定义 </w:t>
      </w:r>
      <w:r>
        <w:rPr>
          <w:rFonts w:hint="eastAsia"/>
          <w:sz w:val="24"/>
        </w:rPr>
        <w:tab/>
      </w:r>
      <w:r>
        <w:rPr>
          <w:rFonts w:hint="eastAsia"/>
          <w:sz w:val="24"/>
        </w:rPr>
        <w:t>（</w:t>
      </w:r>
      <w:r>
        <w:rPr>
          <w:rFonts w:hint="eastAsia" w:ascii="宋体" w:hAnsi="宋体"/>
          <w:sz w:val="24"/>
        </w:rPr>
        <w:t>1）</w:t>
      </w:r>
    </w:p>
    <w:p>
      <w:pPr>
        <w:tabs>
          <w:tab w:val="right" w:leader="middleDot" w:pos="8312"/>
        </w:tabs>
        <w:spacing w:line="360" w:lineRule="auto"/>
        <w:rPr>
          <w:rFonts w:ascii="宋体" w:hAnsi="宋体"/>
          <w:sz w:val="24"/>
        </w:rPr>
      </w:pPr>
      <w:r>
        <w:rPr>
          <w:rFonts w:hint="eastAsia" w:ascii="宋体" w:hAnsi="宋体"/>
          <w:sz w:val="24"/>
        </w:rPr>
        <w:t xml:space="preserve">4  概述 </w:t>
      </w:r>
      <w:r>
        <w:rPr>
          <w:rFonts w:hint="eastAsia"/>
          <w:sz w:val="24"/>
        </w:rPr>
        <w:tab/>
      </w:r>
      <w:r>
        <w:rPr>
          <w:rFonts w:hint="eastAsia" w:ascii="宋体" w:hAnsi="宋体"/>
          <w:sz w:val="24"/>
        </w:rPr>
        <w:t>（2）</w:t>
      </w:r>
    </w:p>
    <w:p>
      <w:pPr>
        <w:tabs>
          <w:tab w:val="right" w:leader="middleDot" w:pos="8312"/>
        </w:tabs>
        <w:spacing w:line="360" w:lineRule="auto"/>
        <w:rPr>
          <w:rFonts w:ascii="宋体" w:hAnsi="宋体"/>
          <w:sz w:val="24"/>
        </w:rPr>
      </w:pPr>
      <w:r>
        <w:rPr>
          <w:rFonts w:hint="eastAsia" w:ascii="宋体" w:hAnsi="宋体"/>
          <w:sz w:val="24"/>
        </w:rPr>
        <w:t xml:space="preserve">5  计量特性 </w:t>
      </w:r>
      <w:r>
        <w:rPr>
          <w:rFonts w:hint="eastAsia"/>
          <w:sz w:val="24"/>
        </w:rPr>
        <w:tab/>
      </w:r>
      <w:r>
        <w:rPr>
          <w:rFonts w:hint="eastAsia" w:ascii="宋体" w:hAnsi="宋体"/>
          <w:sz w:val="24"/>
        </w:rPr>
        <w:t>（2）</w:t>
      </w:r>
    </w:p>
    <w:p>
      <w:pPr>
        <w:tabs>
          <w:tab w:val="right" w:leader="middleDot" w:pos="8312"/>
        </w:tabs>
        <w:spacing w:line="360" w:lineRule="auto"/>
        <w:rPr>
          <w:rFonts w:ascii="宋体" w:hAnsi="宋体"/>
          <w:sz w:val="24"/>
        </w:rPr>
      </w:pPr>
      <w:r>
        <w:rPr>
          <w:rFonts w:hint="eastAsia" w:ascii="宋体" w:hAnsi="宋体"/>
          <w:sz w:val="24"/>
        </w:rPr>
        <w:t>5.1幅值示值误差</w:t>
      </w:r>
      <w:r>
        <w:rPr>
          <w:rFonts w:hint="eastAsia"/>
          <w:sz w:val="24"/>
        </w:rPr>
        <w:tab/>
      </w:r>
      <w:r>
        <w:rPr>
          <w:rFonts w:hint="eastAsia" w:ascii="宋体" w:hAnsi="宋体"/>
          <w:sz w:val="24"/>
        </w:rPr>
        <w:t>（2）</w:t>
      </w:r>
    </w:p>
    <w:p>
      <w:pPr>
        <w:tabs>
          <w:tab w:val="right" w:leader="middleDot" w:pos="8312"/>
        </w:tabs>
        <w:spacing w:line="360" w:lineRule="auto"/>
        <w:rPr>
          <w:rFonts w:ascii="宋体" w:hAnsi="宋体"/>
          <w:sz w:val="24"/>
        </w:rPr>
      </w:pPr>
      <w:r>
        <w:rPr>
          <w:rFonts w:hint="eastAsia" w:ascii="宋体" w:hAnsi="宋体"/>
          <w:sz w:val="24"/>
        </w:rPr>
        <w:t>5.2幅值线性度</w:t>
      </w:r>
      <w:r>
        <w:rPr>
          <w:rFonts w:hint="eastAsia"/>
          <w:sz w:val="24"/>
        </w:rPr>
        <w:tab/>
      </w:r>
      <w:r>
        <w:rPr>
          <w:rFonts w:hint="eastAsia" w:ascii="宋体" w:hAnsi="宋体"/>
          <w:sz w:val="24"/>
        </w:rPr>
        <w:t>（2）</w:t>
      </w:r>
    </w:p>
    <w:p>
      <w:pPr>
        <w:tabs>
          <w:tab w:val="right" w:leader="middleDot" w:pos="8312"/>
        </w:tabs>
        <w:spacing w:line="360" w:lineRule="auto"/>
        <w:rPr>
          <w:rFonts w:ascii="宋体" w:hAnsi="宋体"/>
          <w:sz w:val="24"/>
        </w:rPr>
      </w:pPr>
      <w:r>
        <w:rPr>
          <w:rFonts w:hint="eastAsia" w:ascii="宋体" w:hAnsi="宋体"/>
          <w:sz w:val="24"/>
        </w:rPr>
        <w:t>5.3加速度分辨力</w:t>
      </w:r>
      <w:r>
        <w:rPr>
          <w:rFonts w:hint="eastAsia"/>
          <w:sz w:val="24"/>
        </w:rPr>
        <w:tab/>
      </w:r>
      <w:r>
        <w:rPr>
          <w:rFonts w:hint="eastAsia" w:ascii="宋体" w:hAnsi="宋体"/>
          <w:sz w:val="24"/>
        </w:rPr>
        <w:t>（2）</w:t>
      </w:r>
    </w:p>
    <w:p>
      <w:pPr>
        <w:tabs>
          <w:tab w:val="right" w:leader="middleDot" w:pos="8312"/>
        </w:tabs>
        <w:spacing w:line="360" w:lineRule="auto"/>
        <w:rPr>
          <w:rFonts w:ascii="宋体" w:hAnsi="宋体"/>
          <w:sz w:val="24"/>
        </w:rPr>
      </w:pPr>
      <w:r>
        <w:rPr>
          <w:rFonts w:hint="eastAsia" w:ascii="宋体" w:hAnsi="宋体"/>
          <w:sz w:val="24"/>
        </w:rPr>
        <w:t>5.4 时间示值误差</w:t>
      </w:r>
      <w:r>
        <w:rPr>
          <w:rFonts w:hint="eastAsia"/>
          <w:sz w:val="24"/>
        </w:rPr>
        <w:tab/>
      </w:r>
      <w:r>
        <w:rPr>
          <w:rFonts w:hint="eastAsia" w:ascii="宋体" w:hAnsi="宋体"/>
          <w:sz w:val="24"/>
        </w:rPr>
        <w:t>（2）</w:t>
      </w:r>
    </w:p>
    <w:p>
      <w:pPr>
        <w:tabs>
          <w:tab w:val="right" w:leader="middleDot" w:pos="8312"/>
        </w:tabs>
        <w:spacing w:line="360" w:lineRule="auto"/>
        <w:rPr>
          <w:rFonts w:ascii="宋体" w:hAnsi="宋体"/>
          <w:sz w:val="24"/>
        </w:rPr>
      </w:pPr>
      <w:r>
        <w:rPr>
          <w:rFonts w:hint="eastAsia" w:ascii="宋体" w:hAnsi="宋体"/>
          <w:sz w:val="24"/>
        </w:rPr>
        <w:t>5.5 声压级示值误差</w:t>
      </w:r>
      <w:r>
        <w:rPr>
          <w:rFonts w:hint="eastAsia"/>
          <w:sz w:val="24"/>
        </w:rPr>
        <w:tab/>
      </w:r>
      <w:r>
        <w:rPr>
          <w:rFonts w:hint="eastAsia" w:ascii="宋体" w:hAnsi="宋体"/>
          <w:sz w:val="24"/>
        </w:rPr>
        <w:t>（2）</w:t>
      </w:r>
    </w:p>
    <w:p>
      <w:pPr>
        <w:tabs>
          <w:tab w:val="right" w:leader="middleDot" w:pos="8312"/>
        </w:tabs>
        <w:spacing w:line="360" w:lineRule="auto"/>
        <w:rPr>
          <w:rFonts w:ascii="宋体" w:hAnsi="宋体"/>
          <w:sz w:val="24"/>
        </w:rPr>
      </w:pPr>
      <w:r>
        <w:rPr>
          <w:rFonts w:hint="eastAsia" w:ascii="宋体" w:hAnsi="宋体"/>
          <w:sz w:val="24"/>
        </w:rPr>
        <w:t xml:space="preserve">6  校准条件 </w:t>
      </w:r>
      <w:r>
        <w:rPr>
          <w:rFonts w:hint="eastAsia"/>
          <w:sz w:val="24"/>
        </w:rPr>
        <w:tab/>
      </w:r>
      <w:r>
        <w:rPr>
          <w:rFonts w:hint="eastAsia" w:ascii="宋体" w:hAnsi="宋体"/>
          <w:sz w:val="24"/>
        </w:rPr>
        <w:t>（3）</w:t>
      </w:r>
    </w:p>
    <w:p>
      <w:pPr>
        <w:tabs>
          <w:tab w:val="right" w:leader="middleDot" w:pos="8312"/>
        </w:tabs>
        <w:spacing w:line="360" w:lineRule="auto"/>
        <w:rPr>
          <w:rFonts w:ascii="宋体" w:hAnsi="宋体"/>
          <w:sz w:val="24"/>
        </w:rPr>
      </w:pPr>
      <w:r>
        <w:rPr>
          <w:rFonts w:hint="eastAsia" w:ascii="宋体" w:hAnsi="宋体"/>
          <w:sz w:val="24"/>
        </w:rPr>
        <w:t>6.1 环境条件</w:t>
      </w:r>
      <w:r>
        <w:rPr>
          <w:rFonts w:hint="eastAsia"/>
          <w:sz w:val="24"/>
        </w:rPr>
        <w:tab/>
      </w:r>
      <w:r>
        <w:rPr>
          <w:rFonts w:hint="eastAsia" w:ascii="宋体" w:hAnsi="宋体"/>
          <w:sz w:val="24"/>
        </w:rPr>
        <w:t>（3）</w:t>
      </w:r>
    </w:p>
    <w:p>
      <w:pPr>
        <w:tabs>
          <w:tab w:val="right" w:leader="middleDot" w:pos="8312"/>
        </w:tabs>
        <w:spacing w:line="360" w:lineRule="auto"/>
        <w:rPr>
          <w:rFonts w:ascii="宋体" w:hAnsi="宋体"/>
          <w:sz w:val="24"/>
        </w:rPr>
      </w:pPr>
      <w:r>
        <w:rPr>
          <w:rFonts w:hint="eastAsia" w:ascii="宋体" w:hAnsi="宋体"/>
          <w:sz w:val="24"/>
        </w:rPr>
        <w:t>6.2 主要标准器及其他设备</w:t>
      </w:r>
      <w:r>
        <w:rPr>
          <w:rFonts w:hint="eastAsia"/>
          <w:sz w:val="24"/>
        </w:rPr>
        <w:tab/>
      </w:r>
      <w:r>
        <w:rPr>
          <w:rFonts w:hint="eastAsia" w:ascii="宋体" w:hAnsi="宋体"/>
          <w:sz w:val="24"/>
        </w:rPr>
        <w:t>（3）</w:t>
      </w:r>
    </w:p>
    <w:p>
      <w:pPr>
        <w:tabs>
          <w:tab w:val="right" w:leader="middleDot" w:pos="8312"/>
        </w:tabs>
        <w:spacing w:line="360" w:lineRule="auto"/>
        <w:rPr>
          <w:rFonts w:ascii="宋体" w:hAnsi="宋体"/>
          <w:sz w:val="24"/>
        </w:rPr>
      </w:pPr>
      <w:r>
        <w:rPr>
          <w:rFonts w:hint="eastAsia" w:ascii="宋体" w:hAnsi="宋体"/>
          <w:sz w:val="24"/>
        </w:rPr>
        <w:t xml:space="preserve">7  校准项目和校准方法 </w:t>
      </w:r>
      <w:r>
        <w:rPr>
          <w:rFonts w:hint="eastAsia"/>
          <w:sz w:val="24"/>
        </w:rPr>
        <w:tab/>
      </w:r>
      <w:r>
        <w:rPr>
          <w:rFonts w:hint="eastAsia" w:ascii="宋体" w:hAnsi="宋体"/>
          <w:sz w:val="24"/>
        </w:rPr>
        <w:t>（3）</w:t>
      </w:r>
    </w:p>
    <w:p>
      <w:pPr>
        <w:tabs>
          <w:tab w:val="right" w:leader="middleDot" w:pos="8312"/>
        </w:tabs>
        <w:spacing w:line="360" w:lineRule="auto"/>
        <w:rPr>
          <w:rFonts w:ascii="宋体" w:hAnsi="宋体"/>
          <w:sz w:val="24"/>
        </w:rPr>
      </w:pPr>
      <w:r>
        <w:rPr>
          <w:rFonts w:hint="eastAsia" w:ascii="宋体" w:hAnsi="宋体"/>
          <w:sz w:val="24"/>
        </w:rPr>
        <w:t>7.1 校准项目</w:t>
      </w:r>
      <w:r>
        <w:rPr>
          <w:rFonts w:hint="eastAsia"/>
          <w:sz w:val="24"/>
        </w:rPr>
        <w:tab/>
      </w:r>
      <w:r>
        <w:rPr>
          <w:rFonts w:hint="eastAsia" w:ascii="宋体" w:hAnsi="宋体"/>
          <w:sz w:val="24"/>
        </w:rPr>
        <w:t>（3）</w:t>
      </w:r>
    </w:p>
    <w:p>
      <w:pPr>
        <w:tabs>
          <w:tab w:val="right" w:leader="middleDot" w:pos="8312"/>
        </w:tabs>
        <w:spacing w:line="360" w:lineRule="auto"/>
        <w:rPr>
          <w:rFonts w:ascii="宋体" w:hAnsi="宋体"/>
          <w:sz w:val="24"/>
        </w:rPr>
      </w:pPr>
      <w:r>
        <w:rPr>
          <w:rFonts w:hint="eastAsia" w:ascii="宋体" w:hAnsi="宋体"/>
          <w:sz w:val="24"/>
        </w:rPr>
        <w:t>7.2 校准方法</w:t>
      </w:r>
      <w:r>
        <w:rPr>
          <w:rFonts w:hint="eastAsia"/>
          <w:sz w:val="24"/>
        </w:rPr>
        <w:tab/>
      </w:r>
      <w:r>
        <w:rPr>
          <w:rFonts w:hint="eastAsia" w:ascii="宋体" w:hAnsi="宋体"/>
          <w:sz w:val="24"/>
        </w:rPr>
        <w:t>（3）</w:t>
      </w:r>
    </w:p>
    <w:p>
      <w:pPr>
        <w:tabs>
          <w:tab w:val="right" w:leader="middleDot" w:pos="8312"/>
        </w:tabs>
        <w:spacing w:line="360" w:lineRule="auto"/>
        <w:rPr>
          <w:rFonts w:ascii="宋体" w:hAnsi="宋体"/>
          <w:sz w:val="24"/>
        </w:rPr>
      </w:pPr>
      <w:r>
        <w:rPr>
          <w:rFonts w:hint="eastAsia" w:ascii="宋体" w:hAnsi="宋体"/>
          <w:sz w:val="24"/>
        </w:rPr>
        <w:t>7.2.1幅值示值误差</w:t>
      </w:r>
      <w:r>
        <w:rPr>
          <w:rFonts w:hint="eastAsia"/>
          <w:sz w:val="24"/>
        </w:rPr>
        <w:tab/>
      </w:r>
      <w:r>
        <w:rPr>
          <w:rFonts w:hint="eastAsia" w:ascii="宋体" w:hAnsi="宋体"/>
          <w:sz w:val="24"/>
        </w:rPr>
        <w:t>（3）</w:t>
      </w:r>
    </w:p>
    <w:p>
      <w:pPr>
        <w:tabs>
          <w:tab w:val="right" w:leader="middleDot" w:pos="8312"/>
        </w:tabs>
        <w:spacing w:line="360" w:lineRule="auto"/>
        <w:rPr>
          <w:rFonts w:ascii="宋体" w:hAnsi="宋体"/>
          <w:sz w:val="24"/>
        </w:rPr>
      </w:pPr>
      <w:r>
        <w:rPr>
          <w:rFonts w:hint="eastAsia" w:ascii="宋体" w:hAnsi="宋体"/>
          <w:sz w:val="24"/>
        </w:rPr>
        <w:t>7.2.2幅值线性度</w:t>
      </w:r>
      <w:r>
        <w:rPr>
          <w:rFonts w:hint="eastAsia"/>
          <w:sz w:val="24"/>
        </w:rPr>
        <w:tab/>
      </w:r>
      <w:r>
        <w:rPr>
          <w:rFonts w:hint="eastAsia" w:ascii="宋体" w:hAnsi="宋体"/>
          <w:sz w:val="24"/>
        </w:rPr>
        <w:t>（4）</w:t>
      </w:r>
    </w:p>
    <w:p>
      <w:pPr>
        <w:tabs>
          <w:tab w:val="right" w:leader="middleDot" w:pos="8312"/>
        </w:tabs>
        <w:spacing w:line="360" w:lineRule="auto"/>
        <w:rPr>
          <w:rFonts w:ascii="宋体" w:hAnsi="宋体"/>
          <w:sz w:val="24"/>
        </w:rPr>
      </w:pPr>
      <w:r>
        <w:rPr>
          <w:rFonts w:hint="eastAsia" w:ascii="宋体" w:hAnsi="宋体"/>
          <w:sz w:val="24"/>
        </w:rPr>
        <w:t>7.2.3加速度分辨力</w:t>
      </w:r>
      <w:r>
        <w:rPr>
          <w:rFonts w:hint="eastAsia"/>
          <w:sz w:val="24"/>
        </w:rPr>
        <w:tab/>
      </w:r>
      <w:r>
        <w:rPr>
          <w:rFonts w:hint="eastAsia" w:ascii="宋体" w:hAnsi="宋体"/>
          <w:sz w:val="24"/>
        </w:rPr>
        <w:t>（4）</w:t>
      </w:r>
    </w:p>
    <w:p>
      <w:pPr>
        <w:tabs>
          <w:tab w:val="right" w:leader="middleDot" w:pos="8312"/>
        </w:tabs>
        <w:spacing w:line="360" w:lineRule="auto"/>
        <w:rPr>
          <w:rFonts w:ascii="宋体" w:hAnsi="宋体"/>
          <w:sz w:val="24"/>
        </w:rPr>
      </w:pPr>
      <w:r>
        <w:rPr>
          <w:rFonts w:hint="eastAsia" w:ascii="宋体" w:hAnsi="宋体"/>
          <w:sz w:val="24"/>
        </w:rPr>
        <w:t>7.2.4时间示值误差</w:t>
      </w:r>
      <w:r>
        <w:rPr>
          <w:rFonts w:hint="eastAsia"/>
          <w:sz w:val="24"/>
        </w:rPr>
        <w:tab/>
      </w:r>
      <w:r>
        <w:rPr>
          <w:rFonts w:hint="eastAsia" w:ascii="宋体" w:hAnsi="宋体"/>
          <w:sz w:val="24"/>
        </w:rPr>
        <w:t>（4）</w:t>
      </w:r>
    </w:p>
    <w:p>
      <w:pPr>
        <w:tabs>
          <w:tab w:val="right" w:leader="middleDot" w:pos="8312"/>
        </w:tabs>
        <w:spacing w:line="360" w:lineRule="auto"/>
        <w:rPr>
          <w:rFonts w:ascii="宋体" w:hAnsi="宋体"/>
          <w:sz w:val="24"/>
        </w:rPr>
      </w:pPr>
      <w:r>
        <w:rPr>
          <w:rFonts w:hint="eastAsia" w:ascii="宋体" w:hAnsi="宋体"/>
          <w:sz w:val="24"/>
        </w:rPr>
        <w:t>7.2.5</w:t>
      </w:r>
      <w:r>
        <w:rPr>
          <w:rFonts w:hint="eastAsia" w:hAnsi="宋体"/>
          <w:sz w:val="24"/>
        </w:rPr>
        <w:t>声压级示值误差</w:t>
      </w:r>
      <w:r>
        <w:rPr>
          <w:rFonts w:hint="eastAsia"/>
          <w:sz w:val="24"/>
        </w:rPr>
        <w:tab/>
      </w:r>
      <w:r>
        <w:rPr>
          <w:rFonts w:hint="eastAsia" w:ascii="宋体" w:hAnsi="宋体"/>
          <w:sz w:val="24"/>
        </w:rPr>
        <w:t>（4）</w:t>
      </w:r>
    </w:p>
    <w:p>
      <w:pPr>
        <w:tabs>
          <w:tab w:val="right" w:leader="middleDot" w:pos="8312"/>
        </w:tabs>
        <w:spacing w:line="360" w:lineRule="auto"/>
        <w:rPr>
          <w:rFonts w:ascii="宋体" w:hAnsi="宋体"/>
          <w:sz w:val="24"/>
        </w:rPr>
      </w:pPr>
      <w:r>
        <w:rPr>
          <w:rFonts w:hint="eastAsia" w:ascii="宋体" w:hAnsi="宋体"/>
          <w:sz w:val="24"/>
        </w:rPr>
        <w:t xml:space="preserve">8  校准结果 </w:t>
      </w:r>
      <w:r>
        <w:rPr>
          <w:rFonts w:hint="eastAsia"/>
          <w:sz w:val="24"/>
        </w:rPr>
        <w:tab/>
      </w:r>
      <w:r>
        <w:rPr>
          <w:rFonts w:hint="eastAsia" w:ascii="宋体" w:hAnsi="宋体"/>
          <w:sz w:val="24"/>
        </w:rPr>
        <w:t>（5）</w:t>
      </w:r>
    </w:p>
    <w:p>
      <w:pPr>
        <w:tabs>
          <w:tab w:val="right" w:leader="middleDot" w:pos="8312"/>
        </w:tabs>
        <w:spacing w:line="360" w:lineRule="auto"/>
        <w:rPr>
          <w:rFonts w:ascii="宋体" w:hAnsi="宋体"/>
          <w:sz w:val="24"/>
        </w:rPr>
      </w:pPr>
      <w:r>
        <w:rPr>
          <w:rFonts w:hint="eastAsia" w:ascii="宋体" w:hAnsi="宋体"/>
          <w:sz w:val="24"/>
        </w:rPr>
        <w:t xml:space="preserve">9  复校时间间隔 </w:t>
      </w:r>
      <w:r>
        <w:rPr>
          <w:rFonts w:hint="eastAsia"/>
          <w:sz w:val="24"/>
        </w:rPr>
        <w:tab/>
      </w:r>
      <w:r>
        <w:rPr>
          <w:rFonts w:hint="eastAsia" w:ascii="宋体" w:hAnsi="宋体"/>
          <w:sz w:val="24"/>
        </w:rPr>
        <w:t>（5）</w:t>
      </w:r>
    </w:p>
    <w:p>
      <w:pPr>
        <w:tabs>
          <w:tab w:val="right" w:leader="middleDot" w:pos="8312"/>
        </w:tabs>
        <w:spacing w:line="360" w:lineRule="auto"/>
        <w:rPr>
          <w:rFonts w:ascii="宋体" w:hAnsi="宋体"/>
          <w:sz w:val="24"/>
        </w:rPr>
      </w:pPr>
      <w:r>
        <w:rPr>
          <w:rFonts w:hint="eastAsia" w:ascii="宋体" w:hAnsi="宋体"/>
          <w:sz w:val="24"/>
        </w:rPr>
        <w:t>附录A  校准证书信息及校准记录参考格式</w:t>
      </w:r>
      <w:r>
        <w:rPr>
          <w:rFonts w:hint="eastAsia"/>
          <w:sz w:val="24"/>
        </w:rPr>
        <w:tab/>
      </w:r>
      <w:r>
        <w:rPr>
          <w:rFonts w:hint="eastAsia" w:ascii="宋体" w:hAnsi="宋体"/>
          <w:sz w:val="24"/>
        </w:rPr>
        <w:t>（6）</w:t>
      </w:r>
    </w:p>
    <w:p>
      <w:pPr>
        <w:tabs>
          <w:tab w:val="right" w:leader="middleDot" w:pos="8312"/>
        </w:tabs>
        <w:spacing w:line="360" w:lineRule="auto"/>
        <w:rPr>
          <w:rFonts w:ascii="宋体" w:hAnsi="宋体"/>
          <w:sz w:val="24"/>
        </w:rPr>
      </w:pPr>
      <w:r>
        <w:rPr>
          <w:rFonts w:hint="eastAsia" w:ascii="宋体" w:hAnsi="宋体"/>
          <w:sz w:val="24"/>
        </w:rPr>
        <w:t>附录B  测量不确定度评定示例</w:t>
      </w:r>
      <w:r>
        <w:rPr>
          <w:rFonts w:hint="eastAsia"/>
          <w:sz w:val="24"/>
        </w:rPr>
        <w:tab/>
      </w:r>
      <w:r>
        <w:rPr>
          <w:rFonts w:hint="eastAsia" w:ascii="宋体" w:hAnsi="宋体"/>
          <w:sz w:val="24"/>
        </w:rPr>
        <w:t>（9）</w:t>
      </w:r>
    </w:p>
    <w:p>
      <w:pPr>
        <w:spacing w:beforeLines="50" w:afterLines="50" w:line="360" w:lineRule="auto"/>
        <w:jc w:val="center"/>
        <w:rPr>
          <w:rFonts w:ascii="黑体" w:hAnsi="黑体" w:eastAsia="黑体"/>
          <w:sz w:val="44"/>
          <w:szCs w:val="44"/>
        </w:rPr>
      </w:pPr>
    </w:p>
    <w:p>
      <w:pPr>
        <w:spacing w:beforeLines="50" w:afterLines="50" w:line="360" w:lineRule="auto"/>
        <w:jc w:val="center"/>
        <w:rPr>
          <w:rFonts w:ascii="黑体" w:hAnsi="黑体" w:eastAsia="黑体"/>
          <w:sz w:val="44"/>
          <w:szCs w:val="44"/>
        </w:rPr>
      </w:pPr>
      <w:r>
        <w:rPr>
          <w:rFonts w:hint="eastAsia" w:ascii="黑体" w:hAnsi="黑体" w:eastAsia="黑体"/>
          <w:sz w:val="44"/>
          <w:szCs w:val="44"/>
        </w:rPr>
        <w:t>引    言</w:t>
      </w:r>
    </w:p>
    <w:p>
      <w:pPr>
        <w:snapToGrid w:val="0"/>
        <w:spacing w:line="360" w:lineRule="auto"/>
        <w:ind w:firstLine="480" w:firstLineChars="200"/>
        <w:rPr>
          <w:rFonts w:ascii="宋体" w:hAnsi="宋体"/>
          <w:sz w:val="24"/>
        </w:rPr>
      </w:pPr>
      <w:r>
        <w:rPr>
          <w:rFonts w:hint="eastAsia" w:ascii="宋体" w:hAnsi="宋体"/>
          <w:sz w:val="24"/>
        </w:rPr>
        <w:t>JJF1001《通用计量术语及定义》、JJF1059.1《测量不确定度评定与表示》、JJF1094《测量仪器特性评定》及JJF1071《国家计量校准规范编写规则》共同构成支撑本校准规范制定工作的基础性系列文件。</w:t>
      </w:r>
    </w:p>
    <w:p>
      <w:pPr>
        <w:snapToGrid w:val="0"/>
        <w:spacing w:line="360" w:lineRule="auto"/>
        <w:ind w:firstLine="480" w:firstLineChars="200"/>
        <w:rPr>
          <w:sz w:val="24"/>
        </w:rPr>
      </w:pPr>
      <w:r>
        <w:rPr>
          <w:rFonts w:hint="eastAsia" w:ascii="宋体" w:hAnsi="宋体"/>
          <w:sz w:val="24"/>
        </w:rPr>
        <w:t>本规范主要参考GB/T 7024-2008《电梯、自动扶梯、自动人行道术语》、GB/T 10058-2009《电梯技术条件》、GB/T 10059-2009《电梯试验方法》、GB/T 24474.1-2020《乘运质量测量 第1部分：电梯》以及GB/T 23716-2009《人体对振动的响应 测量仪器》等编制而成</w:t>
      </w:r>
      <w:r>
        <w:rPr>
          <w:rFonts w:hint="eastAsia"/>
          <w:sz w:val="24"/>
        </w:rPr>
        <w:t>。</w:t>
      </w:r>
    </w:p>
    <w:p>
      <w:pPr>
        <w:snapToGrid w:val="0"/>
        <w:spacing w:line="360" w:lineRule="auto"/>
        <w:ind w:firstLine="480" w:firstLineChars="200"/>
        <w:rPr>
          <w:sz w:val="24"/>
          <w:szCs w:val="28"/>
        </w:rPr>
      </w:pPr>
      <w:r>
        <w:rPr>
          <w:rFonts w:hint="eastAsia" w:ascii="宋体" w:hAnsi="宋体"/>
          <w:sz w:val="24"/>
        </w:rPr>
        <w:t>本规范为首次发布。</w:t>
      </w:r>
    </w:p>
    <w:p>
      <w:pPr>
        <w:spacing w:beforeLines="50" w:afterLines="50" w:line="360" w:lineRule="auto"/>
        <w:ind w:firstLine="480" w:firstLineChars="200"/>
        <w:rPr>
          <w:rFonts w:ascii="宋体" w:hAnsi="宋体"/>
          <w:sz w:val="24"/>
        </w:rPr>
        <w:sectPr>
          <w:headerReference r:id="rId4" w:type="default"/>
          <w:pgSz w:w="11906" w:h="16838"/>
          <w:pgMar w:top="1440" w:right="1797" w:bottom="1440" w:left="1797" w:header="851" w:footer="992" w:gutter="0"/>
          <w:pgNumType w:start="1"/>
          <w:cols w:space="720" w:num="1"/>
          <w:docGrid w:type="lines" w:linePitch="312" w:charSpace="0"/>
        </w:sectPr>
      </w:pPr>
    </w:p>
    <w:p>
      <w:pPr>
        <w:spacing w:line="360" w:lineRule="auto"/>
        <w:jc w:val="center"/>
        <w:rPr>
          <w:rFonts w:ascii="黑体" w:hAnsi="黑体" w:eastAsia="黑体"/>
          <w:b/>
          <w:sz w:val="32"/>
          <w:szCs w:val="32"/>
        </w:rPr>
      </w:pPr>
      <w:r>
        <w:rPr>
          <w:rFonts w:hint="eastAsia" w:ascii="黑体" w:hAnsi="黑体" w:eastAsia="黑体"/>
          <w:b/>
          <w:sz w:val="32"/>
          <w:szCs w:val="32"/>
        </w:rPr>
        <w:t>电梯综合测试仪校准规范</w:t>
      </w:r>
    </w:p>
    <w:p>
      <w:pPr>
        <w:spacing w:line="360" w:lineRule="auto"/>
        <w:rPr>
          <w:rFonts w:ascii="黑体" w:hAnsi="黑体" w:eastAsia="黑体" w:cs="黑体"/>
          <w:sz w:val="24"/>
        </w:rPr>
      </w:pPr>
      <w:r>
        <w:rPr>
          <w:rFonts w:hint="eastAsia" w:ascii="黑体" w:hAnsi="黑体" w:eastAsia="黑体" w:cs="黑体"/>
          <w:sz w:val="24"/>
        </w:rPr>
        <w:t>1  范围</w:t>
      </w:r>
    </w:p>
    <w:p>
      <w:pPr>
        <w:spacing w:line="360" w:lineRule="auto"/>
        <w:ind w:firstLine="480" w:firstLineChars="200"/>
        <w:rPr>
          <w:rFonts w:hAnsi="宋体"/>
          <w:sz w:val="24"/>
        </w:rPr>
      </w:pPr>
      <w:r>
        <w:rPr>
          <w:rFonts w:hint="eastAsia" w:hAnsi="宋体"/>
          <w:sz w:val="24"/>
        </w:rPr>
        <w:t>本规范适用于电梯综合测试仪等对电梯运行时的振动和噪声信号进行测量、处理和分析的测量仪器或设备的校准。</w:t>
      </w:r>
    </w:p>
    <w:p>
      <w:pPr>
        <w:spacing w:line="360" w:lineRule="auto"/>
        <w:rPr>
          <w:rFonts w:ascii="黑体" w:hAnsi="黑体" w:eastAsia="黑体" w:cs="黑体"/>
          <w:sz w:val="24"/>
        </w:rPr>
      </w:pPr>
      <w:r>
        <w:rPr>
          <w:rFonts w:hint="eastAsia" w:ascii="黑体" w:hAnsi="黑体" w:eastAsia="黑体" w:cs="黑体"/>
          <w:sz w:val="24"/>
        </w:rPr>
        <w:t>2  引用文件</w:t>
      </w:r>
    </w:p>
    <w:p>
      <w:pPr>
        <w:spacing w:line="360" w:lineRule="auto"/>
        <w:ind w:firstLine="480" w:firstLineChars="200"/>
        <w:rPr>
          <w:sz w:val="24"/>
        </w:rPr>
      </w:pPr>
      <w:r>
        <w:rPr>
          <w:rFonts w:hint="eastAsia" w:hAnsi="宋体"/>
          <w:sz w:val="24"/>
        </w:rPr>
        <w:t>本规范引用了下列文件：</w:t>
      </w:r>
    </w:p>
    <w:p>
      <w:pPr>
        <w:spacing w:line="360" w:lineRule="auto"/>
        <w:ind w:firstLine="480" w:firstLineChars="200"/>
        <w:rPr>
          <w:sz w:val="24"/>
        </w:rPr>
      </w:pPr>
      <w:r>
        <w:rPr>
          <w:rFonts w:hint="eastAsia"/>
          <w:sz w:val="24"/>
        </w:rPr>
        <w:t>JJG 176</w:t>
      </w:r>
      <w:r>
        <w:rPr>
          <w:rFonts w:hint="eastAsia" w:hAnsi="宋体"/>
          <w:sz w:val="24"/>
        </w:rPr>
        <w:t>声校准器</w:t>
      </w:r>
    </w:p>
    <w:p>
      <w:pPr>
        <w:spacing w:line="360" w:lineRule="auto"/>
        <w:ind w:firstLine="480" w:firstLineChars="200"/>
        <w:rPr>
          <w:sz w:val="24"/>
        </w:rPr>
      </w:pPr>
      <w:r>
        <w:rPr>
          <w:rFonts w:hint="eastAsia"/>
          <w:sz w:val="24"/>
        </w:rPr>
        <w:t>J</w:t>
      </w:r>
      <w:r>
        <w:rPr>
          <w:sz w:val="24"/>
        </w:rPr>
        <w:t>JG 188</w:t>
      </w:r>
      <w:r>
        <w:rPr>
          <w:rFonts w:hint="eastAsia" w:hAnsi="宋体"/>
          <w:sz w:val="24"/>
        </w:rPr>
        <w:t>声级计</w:t>
      </w:r>
    </w:p>
    <w:p>
      <w:pPr>
        <w:spacing w:line="360" w:lineRule="auto"/>
        <w:ind w:firstLine="480" w:firstLineChars="200"/>
        <w:rPr>
          <w:sz w:val="24"/>
        </w:rPr>
      </w:pPr>
      <w:r>
        <w:rPr>
          <w:rFonts w:hint="eastAsia"/>
          <w:sz w:val="24"/>
        </w:rPr>
        <w:t xml:space="preserve">JJG 676 </w:t>
      </w:r>
      <w:r>
        <w:rPr>
          <w:rFonts w:hint="eastAsia" w:hAnsi="宋体"/>
          <w:sz w:val="24"/>
        </w:rPr>
        <w:t>测振仪</w:t>
      </w:r>
    </w:p>
    <w:p>
      <w:pPr>
        <w:spacing w:line="360" w:lineRule="auto"/>
        <w:ind w:firstLine="480" w:firstLineChars="200"/>
        <w:rPr>
          <w:sz w:val="24"/>
        </w:rPr>
      </w:pPr>
      <w:r>
        <w:rPr>
          <w:sz w:val="24"/>
        </w:rPr>
        <w:t>JJG</w:t>
      </w:r>
      <w:r>
        <w:rPr>
          <w:rFonts w:hint="eastAsia"/>
          <w:sz w:val="24"/>
        </w:rPr>
        <w:t xml:space="preserve"> </w:t>
      </w:r>
      <w:r>
        <w:rPr>
          <w:sz w:val="24"/>
        </w:rPr>
        <w:t>778</w:t>
      </w:r>
      <w:r>
        <w:rPr>
          <w:rFonts w:hint="eastAsia" w:hAnsi="宋体"/>
          <w:sz w:val="24"/>
        </w:rPr>
        <w:t>噪声统计分析仪</w:t>
      </w:r>
    </w:p>
    <w:p>
      <w:pPr>
        <w:spacing w:line="360" w:lineRule="auto"/>
        <w:ind w:firstLine="480" w:firstLineChars="200"/>
        <w:rPr>
          <w:sz w:val="24"/>
        </w:rPr>
      </w:pPr>
      <w:r>
        <w:rPr>
          <w:rFonts w:hint="eastAsia"/>
          <w:sz w:val="24"/>
        </w:rPr>
        <w:t>J</w:t>
      </w:r>
      <w:r>
        <w:rPr>
          <w:sz w:val="24"/>
        </w:rPr>
        <w:t xml:space="preserve">JF 1034 </w:t>
      </w:r>
      <w:r>
        <w:rPr>
          <w:rFonts w:hint="eastAsia" w:hAnsi="宋体"/>
          <w:sz w:val="24"/>
        </w:rPr>
        <w:t>声学计量名词术语及定义</w:t>
      </w:r>
    </w:p>
    <w:p>
      <w:pPr>
        <w:spacing w:line="360" w:lineRule="auto"/>
        <w:ind w:firstLine="480" w:firstLineChars="200"/>
        <w:rPr>
          <w:sz w:val="24"/>
        </w:rPr>
      </w:pPr>
      <w:r>
        <w:rPr>
          <w:rFonts w:hint="eastAsia"/>
          <w:sz w:val="24"/>
        </w:rPr>
        <w:t>J</w:t>
      </w:r>
      <w:r>
        <w:rPr>
          <w:sz w:val="24"/>
        </w:rPr>
        <w:t xml:space="preserve">JF 1147 </w:t>
      </w:r>
      <w:r>
        <w:rPr>
          <w:rFonts w:hint="eastAsia" w:hAnsi="宋体"/>
          <w:sz w:val="24"/>
        </w:rPr>
        <w:t>消声室和半消声室声学特性校准规范</w:t>
      </w:r>
    </w:p>
    <w:p>
      <w:pPr>
        <w:spacing w:line="360" w:lineRule="auto"/>
        <w:ind w:firstLine="480" w:firstLineChars="200"/>
        <w:rPr>
          <w:sz w:val="24"/>
        </w:rPr>
      </w:pPr>
      <w:r>
        <w:rPr>
          <w:rFonts w:hint="eastAsia"/>
          <w:sz w:val="24"/>
        </w:rPr>
        <w:t xml:space="preserve">GB/T 10058 </w:t>
      </w:r>
      <w:r>
        <w:rPr>
          <w:rFonts w:hint="eastAsia" w:hAnsi="宋体"/>
          <w:sz w:val="24"/>
        </w:rPr>
        <w:t>电梯技术条件</w:t>
      </w:r>
    </w:p>
    <w:p>
      <w:pPr>
        <w:spacing w:line="360" w:lineRule="auto"/>
        <w:ind w:firstLine="480" w:firstLineChars="200"/>
        <w:rPr>
          <w:rFonts w:hAnsi="宋体"/>
          <w:sz w:val="24"/>
        </w:rPr>
      </w:pPr>
      <w:r>
        <w:rPr>
          <w:rFonts w:hint="eastAsia"/>
          <w:sz w:val="24"/>
        </w:rPr>
        <w:t xml:space="preserve">GB/T 23716 </w:t>
      </w:r>
      <w:r>
        <w:rPr>
          <w:rFonts w:hint="eastAsia" w:hAnsi="宋体"/>
          <w:sz w:val="24"/>
        </w:rPr>
        <w:t>人体对振动的响应测量仪器</w:t>
      </w:r>
    </w:p>
    <w:p>
      <w:pPr>
        <w:spacing w:line="360" w:lineRule="auto"/>
        <w:ind w:firstLine="480" w:firstLineChars="200"/>
        <w:rPr>
          <w:sz w:val="24"/>
        </w:rPr>
      </w:pPr>
      <w:r>
        <w:rPr>
          <w:rFonts w:hint="eastAsia"/>
          <w:sz w:val="24"/>
        </w:rPr>
        <w:t xml:space="preserve">GB/T 24474.1 </w:t>
      </w:r>
      <w:r>
        <w:rPr>
          <w:rFonts w:hint="eastAsia" w:hAnsi="宋体"/>
          <w:sz w:val="24"/>
        </w:rPr>
        <w:t>乘运质量测量 第1部分：电梯</w:t>
      </w:r>
    </w:p>
    <w:p>
      <w:pPr>
        <w:spacing w:line="360" w:lineRule="auto"/>
        <w:ind w:firstLine="480" w:firstLineChars="200"/>
        <w:rPr>
          <w:sz w:val="24"/>
        </w:rPr>
      </w:pPr>
      <w:r>
        <w:rPr>
          <w:rFonts w:hint="eastAsia" w:hAnsi="宋体"/>
          <w:sz w:val="24"/>
        </w:rPr>
        <w:t>凡是注日期的引用文件，仅注日期的版本适用于本规范；凡是不注日期的引用文件，其最新版本（包括所有的修改单</w:t>
      </w:r>
      <w:r>
        <w:rPr>
          <w:rFonts w:hAnsi="宋体"/>
          <w:sz w:val="24"/>
        </w:rPr>
        <w:t>）</w:t>
      </w:r>
      <w:r>
        <w:rPr>
          <w:rFonts w:hint="eastAsia" w:hAnsi="宋体"/>
          <w:sz w:val="24"/>
        </w:rPr>
        <w:t>适用于本规范。</w:t>
      </w:r>
    </w:p>
    <w:p>
      <w:pPr>
        <w:spacing w:line="360" w:lineRule="auto"/>
        <w:rPr>
          <w:rFonts w:ascii="黑体" w:hAnsi="黑体" w:eastAsia="黑体" w:cs="黑体"/>
          <w:b/>
          <w:sz w:val="24"/>
        </w:rPr>
      </w:pPr>
      <w:r>
        <w:rPr>
          <w:rFonts w:hint="eastAsia" w:ascii="黑体" w:hAnsi="黑体" w:eastAsia="黑体" w:cs="黑体"/>
          <w:bCs/>
          <w:sz w:val="24"/>
        </w:rPr>
        <w:t>3</w:t>
      </w:r>
      <w:r>
        <w:rPr>
          <w:rFonts w:hint="eastAsia" w:ascii="黑体" w:hAnsi="黑体" w:eastAsia="黑体" w:cs="黑体"/>
          <w:sz w:val="24"/>
        </w:rPr>
        <w:t>术语和定义</w:t>
      </w:r>
    </w:p>
    <w:p>
      <w:pPr>
        <w:spacing w:line="360" w:lineRule="auto"/>
        <w:rPr>
          <w:sz w:val="24"/>
        </w:rPr>
      </w:pPr>
      <w:r>
        <w:rPr>
          <w:rFonts w:hint="eastAsia"/>
          <w:sz w:val="24"/>
        </w:rPr>
        <w:t xml:space="preserve">3.1  </w:t>
      </w:r>
      <w:r>
        <w:rPr>
          <w:rFonts w:hint="eastAsia" w:hAnsi="宋体"/>
          <w:sz w:val="24"/>
        </w:rPr>
        <w:t>加速度</w:t>
      </w:r>
      <w:r>
        <w:rPr>
          <w:rFonts w:hint="eastAsia"/>
          <w:sz w:val="24"/>
        </w:rPr>
        <w:t>acceleration[GB/T 24474.1-2020,3.1]</w:t>
      </w:r>
    </w:p>
    <w:p>
      <w:pPr>
        <w:spacing w:line="360" w:lineRule="auto"/>
        <w:ind w:firstLine="480" w:firstLineChars="200"/>
        <w:rPr>
          <w:rFonts w:hAnsi="宋体"/>
          <w:sz w:val="24"/>
        </w:rPr>
      </w:pPr>
      <w:r>
        <w:rPr>
          <w:rFonts w:hint="eastAsia" w:hAnsi="宋体"/>
          <w:sz w:val="24"/>
        </w:rPr>
        <w:t>由电梯运行控制引起的z轴的速度变化率。</w:t>
      </w:r>
    </w:p>
    <w:p>
      <w:pPr>
        <w:spacing w:line="360" w:lineRule="auto"/>
        <w:rPr>
          <w:sz w:val="24"/>
        </w:rPr>
      </w:pPr>
      <w:r>
        <w:rPr>
          <w:rFonts w:hint="eastAsia"/>
          <w:sz w:val="24"/>
        </w:rPr>
        <w:t xml:space="preserve">3.2  </w:t>
      </w:r>
      <w:r>
        <w:rPr>
          <w:rFonts w:hint="eastAsia" w:hAnsi="宋体"/>
          <w:sz w:val="24"/>
        </w:rPr>
        <w:t>振动峰峰值</w:t>
      </w:r>
      <w:r>
        <w:rPr>
          <w:rFonts w:hint="eastAsia"/>
          <w:sz w:val="24"/>
        </w:rPr>
        <w:t xml:space="preserve"> peak-to-peak vibration[GB/T 24474.1-2020,3.9]</w:t>
      </w:r>
    </w:p>
    <w:p>
      <w:pPr>
        <w:spacing w:line="360" w:lineRule="auto"/>
        <w:ind w:firstLine="480" w:firstLineChars="200"/>
        <w:rPr>
          <w:sz w:val="24"/>
        </w:rPr>
      </w:pPr>
      <w:r>
        <w:rPr>
          <w:rFonts w:hint="eastAsia" w:hAnsi="宋体"/>
          <w:sz w:val="24"/>
        </w:rPr>
        <w:t>被单一过零点分开的两个符号相反的峰值的绝对值之和。</w:t>
      </w:r>
    </w:p>
    <w:p>
      <w:pPr>
        <w:spacing w:line="360" w:lineRule="auto"/>
        <w:rPr>
          <w:sz w:val="24"/>
        </w:rPr>
      </w:pPr>
      <w:r>
        <w:rPr>
          <w:rFonts w:hint="eastAsia"/>
          <w:sz w:val="24"/>
        </w:rPr>
        <w:t xml:space="preserve">3.3  </w:t>
      </w:r>
      <w:r>
        <w:rPr>
          <w:rFonts w:hint="eastAsia" w:hAnsi="宋体"/>
          <w:sz w:val="24"/>
        </w:rPr>
        <w:t>测量轴</w:t>
      </w:r>
      <w:r>
        <w:rPr>
          <w:rFonts w:hint="eastAsia"/>
          <w:sz w:val="24"/>
        </w:rPr>
        <w:t xml:space="preserve"> axes of measurement[GB/T 24474.1-2020,3.6]</w:t>
      </w:r>
    </w:p>
    <w:p>
      <w:pPr>
        <w:spacing w:line="360" w:lineRule="auto"/>
        <w:ind w:firstLine="480" w:firstLineChars="200"/>
        <w:rPr>
          <w:sz w:val="24"/>
        </w:rPr>
      </w:pPr>
      <w:r>
        <w:rPr>
          <w:rFonts w:hint="eastAsia" w:hAnsi="宋体"/>
          <w:sz w:val="24"/>
        </w:rPr>
        <w:t>对于传统结构的电梯采用直角坐标系：</w:t>
      </w:r>
    </w:p>
    <w:p>
      <w:pPr>
        <w:spacing w:line="360" w:lineRule="auto"/>
        <w:ind w:firstLine="480" w:firstLineChars="200"/>
        <w:rPr>
          <w:sz w:val="24"/>
        </w:rPr>
      </w:pPr>
      <w:r>
        <w:rPr>
          <w:sz w:val="24"/>
        </w:rPr>
        <w:t>X</w:t>
      </w:r>
      <w:r>
        <w:rPr>
          <w:rFonts w:hint="eastAsia" w:hAnsi="宋体"/>
          <w:sz w:val="24"/>
        </w:rPr>
        <w:t>垂直于轿厢主门平面的轴（即前后方向）；</w:t>
      </w:r>
    </w:p>
    <w:p>
      <w:pPr>
        <w:spacing w:line="360" w:lineRule="auto"/>
        <w:ind w:firstLine="480" w:firstLineChars="200"/>
        <w:rPr>
          <w:sz w:val="24"/>
        </w:rPr>
      </w:pPr>
      <w:r>
        <w:rPr>
          <w:rFonts w:hint="eastAsia"/>
          <w:sz w:val="24"/>
        </w:rPr>
        <w:t>Y</w:t>
      </w:r>
      <w:r>
        <w:rPr>
          <w:rFonts w:hint="eastAsia" w:hAnsi="宋体"/>
          <w:sz w:val="24"/>
        </w:rPr>
        <w:t>垂直于</w:t>
      </w:r>
      <w:r>
        <w:rPr>
          <w:rFonts w:hint="eastAsia"/>
          <w:sz w:val="24"/>
        </w:rPr>
        <w:t>X</w:t>
      </w:r>
      <w:r>
        <w:rPr>
          <w:rFonts w:hint="eastAsia" w:hAnsi="宋体"/>
          <w:sz w:val="24"/>
        </w:rPr>
        <w:t>轴和</w:t>
      </w:r>
      <w:r>
        <w:rPr>
          <w:rFonts w:hint="eastAsia"/>
          <w:sz w:val="24"/>
        </w:rPr>
        <w:t>Z</w:t>
      </w:r>
      <w:r>
        <w:rPr>
          <w:rFonts w:hint="eastAsia" w:hAnsi="宋体"/>
          <w:sz w:val="24"/>
        </w:rPr>
        <w:t>轴的轴（即左右方向）；</w:t>
      </w:r>
    </w:p>
    <w:p>
      <w:pPr>
        <w:spacing w:line="360" w:lineRule="auto"/>
        <w:ind w:firstLine="480" w:firstLineChars="200"/>
        <w:rPr>
          <w:rFonts w:hAnsi="宋体"/>
          <w:sz w:val="24"/>
        </w:rPr>
      </w:pPr>
      <w:r>
        <w:rPr>
          <w:rFonts w:hint="eastAsia"/>
          <w:sz w:val="24"/>
        </w:rPr>
        <w:t>Z</w:t>
      </w:r>
      <w:r>
        <w:rPr>
          <w:rFonts w:hint="eastAsia" w:hAnsi="宋体"/>
          <w:sz w:val="24"/>
        </w:rPr>
        <w:t>垂直于轿厢地板的轴（即铅垂方向）。</w:t>
      </w:r>
    </w:p>
    <w:p>
      <w:pPr>
        <w:spacing w:line="360" w:lineRule="auto"/>
        <w:ind w:firstLine="420" w:firstLineChars="200"/>
      </w:pPr>
      <w:r>
        <w:rPr>
          <w:rFonts w:hint="eastAsia" w:hAnsi="宋体"/>
        </w:rPr>
        <w:t>注：对于非传统结构的电梯，根据GB/T 13441.1-2007对影响人体的机械振动基本中心坐标系方向的规定，即一个面向轿厢主门站立的人来定义各个轴。</w:t>
      </w:r>
    </w:p>
    <w:p>
      <w:pPr>
        <w:spacing w:line="360" w:lineRule="auto"/>
        <w:rPr>
          <w:sz w:val="24"/>
        </w:rPr>
      </w:pPr>
      <w:r>
        <w:rPr>
          <w:rFonts w:hint="eastAsia"/>
          <w:sz w:val="24"/>
        </w:rPr>
        <w:t>3.4  A95[GB/T 24474-2020.1,3.3]</w:t>
      </w:r>
    </w:p>
    <w:p>
      <w:pPr>
        <w:spacing w:line="360" w:lineRule="auto"/>
        <w:ind w:firstLine="480" w:firstLineChars="200"/>
        <w:rPr>
          <w:sz w:val="24"/>
        </w:rPr>
      </w:pPr>
      <w:r>
        <w:rPr>
          <w:rFonts w:hint="eastAsia" w:hAnsi="宋体"/>
          <w:sz w:val="24"/>
        </w:rPr>
        <w:t>在定义的界限范围内，</w:t>
      </w:r>
      <w:r>
        <w:rPr>
          <w:rFonts w:hint="eastAsia"/>
          <w:sz w:val="24"/>
        </w:rPr>
        <w:t>95%</w:t>
      </w:r>
      <w:r>
        <w:rPr>
          <w:rFonts w:hint="eastAsia" w:hAnsi="宋体"/>
          <w:sz w:val="24"/>
        </w:rPr>
        <w:t>采样数据的加速度或振动的值小于或等于的值。</w:t>
      </w:r>
    </w:p>
    <w:p>
      <w:pPr>
        <w:spacing w:line="360" w:lineRule="auto"/>
        <w:rPr>
          <w:sz w:val="24"/>
        </w:rPr>
      </w:pPr>
      <w:r>
        <w:rPr>
          <w:rFonts w:hint="eastAsia"/>
          <w:sz w:val="24"/>
        </w:rPr>
        <w:t>3</w:t>
      </w:r>
      <w:r>
        <w:rPr>
          <w:sz w:val="24"/>
        </w:rPr>
        <w:t>.</w:t>
      </w:r>
      <w:r>
        <w:rPr>
          <w:rFonts w:hint="eastAsia"/>
          <w:sz w:val="24"/>
        </w:rPr>
        <w:t>5</w:t>
      </w:r>
      <w:r>
        <w:rPr>
          <w:rFonts w:hint="eastAsia" w:hAnsi="宋体"/>
          <w:sz w:val="24"/>
        </w:rPr>
        <w:t>声压级</w:t>
      </w:r>
      <w:r>
        <w:rPr>
          <w:rFonts w:hint="eastAsia"/>
          <w:sz w:val="24"/>
        </w:rPr>
        <w:t xml:space="preserve"> sound pressure level[JJF 1034-2020,3.39]</w:t>
      </w:r>
    </w:p>
    <w:p>
      <w:pPr>
        <w:spacing w:line="360" w:lineRule="auto"/>
        <w:ind w:firstLine="480" w:firstLineChars="200"/>
        <w:rPr>
          <w:rFonts w:hAnsi="宋体"/>
          <w:sz w:val="24"/>
        </w:rPr>
      </w:pPr>
      <w:r>
        <w:rPr>
          <w:rFonts w:hint="eastAsia" w:hAnsi="宋体"/>
          <w:sz w:val="24"/>
        </w:rPr>
        <w:t>声压的平方与基准声压的平方之比的常用对数的 10 倍。</w:t>
      </w:r>
    </w:p>
    <w:p>
      <w:pPr>
        <w:tabs>
          <w:tab w:val="center" w:pos="4130"/>
          <w:tab w:val="right" w:pos="8301"/>
        </w:tabs>
        <w:spacing w:line="300" w:lineRule="auto"/>
        <w:ind w:left="21"/>
        <w:jc w:val="center"/>
        <w:rPr>
          <w:sz w:val="24"/>
        </w:rPr>
      </w:pPr>
      <w:r>
        <w:rPr>
          <w:rFonts w:hint="eastAsia"/>
          <w:position w:val="-30"/>
          <w:sz w:val="24"/>
        </w:rPr>
        <w:tab/>
      </w:r>
      <w:r>
        <w:rPr>
          <w:position w:val="-30"/>
          <w:sz w:val="24"/>
        </w:rPr>
        <w:object>
          <v:shape id="_x0000_i1025" o:spt="75" type="#_x0000_t75" style="height:36pt;width:66pt;" o:ole="t" filled="f" o:preferrelative="t" stroked="f" coordsize="21600,21600">
            <v:path/>
            <v:fill on="f" focussize="0,0"/>
            <v:stroke on="f" joinstyle="miter"/>
            <v:imagedata r:id="rId10" o:title=""/>
            <o:lock v:ext="edit" aspectratio="t"/>
            <w10:wrap type="none"/>
            <w10:anchorlock/>
          </v:shape>
          <o:OLEObject Type="Embed" ProgID="Equation.DSMT4" ShapeID="_x0000_i1025" DrawAspect="Content" ObjectID="_1468075725" r:id="rId9">
            <o:LockedField>false</o:LockedField>
          </o:OLEObject>
        </w:object>
      </w:r>
      <w:r>
        <w:rPr>
          <w:rFonts w:hint="eastAsia"/>
          <w:position w:val="-30"/>
          <w:sz w:val="24"/>
        </w:rPr>
        <w:tab/>
      </w:r>
      <w:r>
        <w:rPr>
          <w:sz w:val="24"/>
        </w:rPr>
        <w:t>（1）</w:t>
      </w:r>
    </w:p>
    <w:p>
      <w:pPr>
        <w:spacing w:line="360" w:lineRule="auto"/>
        <w:ind w:firstLine="480" w:firstLineChars="200"/>
        <w:rPr>
          <w:rFonts w:hAnsi="宋体"/>
          <w:sz w:val="24"/>
        </w:rPr>
      </w:pPr>
      <w:r>
        <w:rPr>
          <w:rFonts w:hint="eastAsia" w:hAnsi="宋体"/>
          <w:sz w:val="24"/>
        </w:rPr>
        <w:t>式中：</w:t>
      </w:r>
    </w:p>
    <w:p>
      <w:pPr>
        <w:spacing w:line="360" w:lineRule="auto"/>
        <w:ind w:firstLine="420" w:firstLineChars="200"/>
        <w:rPr>
          <w:sz w:val="24"/>
        </w:rPr>
      </w:pPr>
      <w:r>
        <w:rPr>
          <w:position w:val="-14"/>
        </w:rPr>
        <w:object>
          <v:shape id="_x0000_i1026" o:spt="75" type="#_x0000_t75" style="height:18.75pt;width:15pt;" o:ole="t" filled="f" o:preferrelative="t" stroked="f" coordsize="21600,21600">
            <v:path/>
            <v:fill on="f" focussize="0,0"/>
            <v:stroke on="f" joinstyle="miter"/>
            <v:imagedata r:id="rId12" o:title=""/>
            <o:lock v:ext="edit" aspectratio="t"/>
            <w10:wrap type="none"/>
            <w10:anchorlock/>
          </v:shape>
          <o:OLEObject Type="Embed" ProgID="Equation.DSMT4" ShapeID="_x0000_i1026" DrawAspect="Content" ObjectID="_1468075726" r:id="rId11">
            <o:LockedField>false</o:LockedField>
          </o:OLEObject>
        </w:object>
      </w:r>
      <w:r>
        <w:rPr>
          <w:rFonts w:hint="eastAsia"/>
        </w:rPr>
        <w:tab/>
      </w:r>
      <w:r>
        <w:rPr>
          <w:sz w:val="24"/>
        </w:rPr>
        <w:t>一一声压级，单位为分贝 (dB)；</w:t>
      </w:r>
    </w:p>
    <w:p>
      <w:pPr>
        <w:spacing w:line="360" w:lineRule="auto"/>
        <w:ind w:firstLine="420" w:firstLineChars="200"/>
        <w:rPr>
          <w:sz w:val="24"/>
        </w:rPr>
      </w:pPr>
      <w:r>
        <w:rPr>
          <w:position w:val="-10"/>
        </w:rPr>
        <w:object>
          <v:shape id="_x0000_i1027" o:spt="75" type="#_x0000_t75" style="height:12.75pt;width:12pt;" o:ole="t" filled="f" o:preferrelative="t" stroked="f" coordsize="21600,21600">
            <v:path/>
            <v:fill on="f" focussize="0,0"/>
            <v:stroke on="f" joinstyle="miter"/>
            <v:imagedata r:id="rId14" o:title=""/>
            <o:lock v:ext="edit" aspectratio="t"/>
            <w10:wrap type="none"/>
            <w10:anchorlock/>
          </v:shape>
          <o:OLEObject Type="Embed" ProgID="Equation.DSMT4" ShapeID="_x0000_i1027" DrawAspect="Content" ObjectID="_1468075727" r:id="rId13">
            <o:LockedField>false</o:LockedField>
          </o:OLEObject>
        </w:object>
      </w:r>
      <w:r>
        <w:rPr>
          <w:rFonts w:hint="eastAsia"/>
        </w:rPr>
        <w:tab/>
      </w:r>
      <w:r>
        <w:rPr>
          <w:sz w:val="24"/>
        </w:rPr>
        <w:t>一一声压，单位为帕[斯卡](Pa)；</w:t>
      </w:r>
    </w:p>
    <w:p>
      <w:pPr>
        <w:spacing w:line="360" w:lineRule="auto"/>
        <w:ind w:firstLine="480" w:firstLineChars="200"/>
        <w:rPr>
          <w:sz w:val="24"/>
        </w:rPr>
      </w:pPr>
      <w:r>
        <w:rPr>
          <w:position w:val="-12"/>
          <w:sz w:val="24"/>
        </w:rPr>
        <w:object>
          <v:shape id="_x0000_i1028" o:spt="75" type="#_x0000_t75" style="height:18pt;width:15pt;" o:ole="t" filled="f" o:preferrelative="t" stroked="f" coordsize="21600,21600">
            <v:path/>
            <v:fill on="f" focussize="0,0"/>
            <v:stroke on="f" joinstyle="miter"/>
            <v:imagedata r:id="rId16" o:title=""/>
            <o:lock v:ext="edit" aspectratio="t"/>
            <w10:wrap type="none"/>
            <w10:anchorlock/>
          </v:shape>
          <o:OLEObject Type="Embed" ProgID="Equation.DSMT4" ShapeID="_x0000_i1028" DrawAspect="Content" ObjectID="_1468075728" r:id="rId15">
            <o:LockedField>false</o:LockedField>
          </o:OLEObject>
        </w:object>
      </w:r>
      <w:r>
        <w:rPr>
          <w:rFonts w:hint="eastAsia"/>
          <w:position w:val="-30"/>
          <w:sz w:val="24"/>
        </w:rPr>
        <w:tab/>
      </w:r>
      <w:r>
        <w:rPr>
          <w:sz w:val="24"/>
        </w:rPr>
        <w:t>一一基准声压，单位为帕[斯卡](Pa)。</w:t>
      </w:r>
    </w:p>
    <w:p>
      <w:pPr>
        <w:spacing w:line="360" w:lineRule="auto"/>
        <w:rPr>
          <w:b/>
          <w:sz w:val="24"/>
        </w:rPr>
      </w:pPr>
      <w:r>
        <w:rPr>
          <w:rFonts w:hint="eastAsia"/>
          <w:bCs/>
          <w:sz w:val="24"/>
        </w:rPr>
        <w:t>4</w:t>
      </w:r>
      <w:r>
        <w:rPr>
          <w:rFonts w:hint="eastAsia" w:ascii="黑体" w:hAnsi="黑体" w:eastAsia="黑体"/>
          <w:sz w:val="24"/>
        </w:rPr>
        <w:t xml:space="preserve">  概述</w:t>
      </w:r>
    </w:p>
    <w:p>
      <w:pPr>
        <w:spacing w:line="360" w:lineRule="auto"/>
        <w:ind w:firstLine="480" w:firstLineChars="200"/>
        <w:rPr>
          <w:sz w:val="24"/>
        </w:rPr>
      </w:pPr>
      <w:r>
        <w:rPr>
          <w:rFonts w:hint="eastAsia" w:hAnsi="宋体"/>
          <w:sz w:val="24"/>
        </w:rPr>
        <w:t>电梯综合测试仪（以下简称测试仪）是用于测量涉及电梯乘运质量的振动和噪声信号的设备，包括电梯运行过程中的三轴加速度、启动加速度、制停减速度、加速度峰值、A95加速度、轿厢水平度、制停时间等参数。</w:t>
      </w:r>
      <w:r>
        <w:rPr>
          <w:rFonts w:hint="eastAsia"/>
          <w:sz w:val="24"/>
        </w:rPr>
        <w:t>它通过振动传感器感应测量电梯轿厢的振动信号，通过传声器测量电梯轿厢的噪声，然后进行转换放大、微分、积分等处理，得到电梯运行的加速度、噪声等量值。</w:t>
      </w:r>
    </w:p>
    <w:p>
      <w:pPr>
        <w:spacing w:line="360" w:lineRule="auto"/>
        <w:ind w:firstLine="480" w:firstLineChars="200"/>
        <w:rPr>
          <w:sz w:val="24"/>
        </w:rPr>
      </w:pPr>
      <w:r>
        <w:rPr>
          <w:rFonts w:hint="eastAsia" w:hAnsi="宋体"/>
          <w:sz w:val="24"/>
        </w:rPr>
        <w:t>测试仪由测量三个正交坐标轴加速度的传感器、测量声压级的传感器、数据采集系统、数据存储系统，数据处理系统等组成。</w:t>
      </w:r>
    </w:p>
    <w:p>
      <w:pPr>
        <w:spacing w:line="360" w:lineRule="auto"/>
        <w:rPr>
          <w:b/>
          <w:sz w:val="24"/>
        </w:rPr>
      </w:pPr>
      <w:r>
        <w:rPr>
          <w:rFonts w:hint="eastAsia"/>
          <w:sz w:val="24"/>
        </w:rPr>
        <w:t>5</w:t>
      </w:r>
      <w:r>
        <w:rPr>
          <w:rFonts w:hint="eastAsia" w:ascii="黑体" w:hAnsi="黑体" w:eastAsia="黑体"/>
          <w:sz w:val="24"/>
        </w:rPr>
        <w:t xml:space="preserve">  计量特性</w:t>
      </w:r>
    </w:p>
    <w:p>
      <w:pPr>
        <w:spacing w:line="360" w:lineRule="auto"/>
        <w:ind w:firstLine="480" w:firstLineChars="200"/>
        <w:rPr>
          <w:rFonts w:ascii="宋体" w:hAnsi="宋体"/>
          <w:sz w:val="24"/>
        </w:rPr>
      </w:pPr>
      <w:r>
        <w:rPr>
          <w:rFonts w:hint="eastAsia" w:ascii="宋体" w:hAnsi="宋体"/>
          <w:sz w:val="24"/>
        </w:rPr>
        <w:t>电梯综合测试仪的计量特性见表1</w:t>
      </w:r>
    </w:p>
    <w:p>
      <w:pPr>
        <w:spacing w:line="300" w:lineRule="auto"/>
        <w:jc w:val="center"/>
        <w:rPr>
          <w:rFonts w:ascii="宋体" w:hAnsi="宋体" w:eastAsia="黑体"/>
          <w:sz w:val="24"/>
        </w:rPr>
      </w:pPr>
      <w:r>
        <w:rPr>
          <w:rFonts w:hint="eastAsia" w:eastAsia="黑体"/>
          <w:szCs w:val="21"/>
        </w:rPr>
        <w:t>表1 电梯综合测试仪</w:t>
      </w:r>
      <w:r>
        <w:rPr>
          <w:rFonts w:hint="eastAsia" w:ascii="黑体" w:hAnsi="黑体" w:eastAsia="黑体"/>
          <w:szCs w:val="21"/>
        </w:rPr>
        <w:t>计量特性</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9"/>
        <w:gridCol w:w="2785"/>
        <w:gridCol w:w="2099"/>
        <w:gridCol w:w="262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pPr>
              <w:spacing w:line="300" w:lineRule="auto"/>
              <w:jc w:val="center"/>
              <w:rPr>
                <w:rFonts w:hAnsi="宋体"/>
                <w:szCs w:val="21"/>
              </w:rPr>
            </w:pPr>
            <w:r>
              <w:rPr>
                <w:rFonts w:hint="eastAsia" w:hAnsi="宋体"/>
                <w:szCs w:val="21"/>
              </w:rPr>
              <w:t>序号</w:t>
            </w:r>
          </w:p>
        </w:tc>
        <w:tc>
          <w:tcPr>
            <w:tcW w:w="2785" w:type="dxa"/>
          </w:tcPr>
          <w:p>
            <w:pPr>
              <w:spacing w:line="300" w:lineRule="auto"/>
              <w:jc w:val="center"/>
              <w:rPr>
                <w:rFonts w:hAnsi="宋体"/>
                <w:szCs w:val="21"/>
              </w:rPr>
            </w:pPr>
            <w:r>
              <w:rPr>
                <w:rFonts w:hint="eastAsia" w:hAnsi="宋体"/>
                <w:szCs w:val="21"/>
              </w:rPr>
              <w:t>项目</w:t>
            </w:r>
          </w:p>
        </w:tc>
        <w:tc>
          <w:tcPr>
            <w:tcW w:w="2099" w:type="dxa"/>
          </w:tcPr>
          <w:p>
            <w:pPr>
              <w:spacing w:line="300" w:lineRule="auto"/>
              <w:jc w:val="center"/>
              <w:rPr>
                <w:rFonts w:hAnsi="宋体"/>
                <w:szCs w:val="21"/>
              </w:rPr>
            </w:pPr>
            <w:r>
              <w:rPr>
                <w:rFonts w:hint="eastAsia" w:hAnsi="宋体"/>
                <w:szCs w:val="21"/>
              </w:rPr>
              <w:t>测量范围</w:t>
            </w:r>
          </w:p>
        </w:tc>
        <w:tc>
          <w:tcPr>
            <w:tcW w:w="2629" w:type="dxa"/>
          </w:tcPr>
          <w:p>
            <w:pPr>
              <w:spacing w:line="300" w:lineRule="auto"/>
              <w:jc w:val="center"/>
              <w:rPr>
                <w:rFonts w:hAnsi="宋体"/>
                <w:szCs w:val="21"/>
              </w:rPr>
            </w:pPr>
            <w:r>
              <w:rPr>
                <w:rFonts w:hint="eastAsia" w:hAnsi="宋体"/>
                <w:szCs w:val="21"/>
              </w:rPr>
              <w:t>性能指标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pPr>
              <w:spacing w:line="300" w:lineRule="auto"/>
              <w:jc w:val="center"/>
              <w:rPr>
                <w:rFonts w:hAnsi="宋体"/>
                <w:szCs w:val="21"/>
              </w:rPr>
            </w:pPr>
            <w:r>
              <w:rPr>
                <w:rFonts w:hint="eastAsia" w:hAnsi="宋体"/>
                <w:szCs w:val="21"/>
              </w:rPr>
              <w:t>1</w:t>
            </w:r>
          </w:p>
        </w:tc>
        <w:tc>
          <w:tcPr>
            <w:tcW w:w="2785" w:type="dxa"/>
          </w:tcPr>
          <w:p>
            <w:pPr>
              <w:spacing w:line="300" w:lineRule="auto"/>
              <w:jc w:val="center"/>
              <w:rPr>
                <w:rFonts w:hAnsi="宋体"/>
                <w:szCs w:val="21"/>
              </w:rPr>
            </w:pPr>
            <w:r>
              <w:rPr>
                <w:rFonts w:hint="eastAsia" w:hAnsi="宋体"/>
                <w:szCs w:val="21"/>
              </w:rPr>
              <w:t>加速度峰值示值误差</w:t>
            </w:r>
          </w:p>
        </w:tc>
        <w:tc>
          <w:tcPr>
            <w:tcW w:w="2099" w:type="dxa"/>
          </w:tcPr>
          <w:p>
            <w:pPr>
              <w:spacing w:line="300" w:lineRule="auto"/>
              <w:jc w:val="center"/>
              <w:rPr>
                <w:rFonts w:hAnsi="宋体"/>
                <w:szCs w:val="21"/>
              </w:rPr>
            </w:pPr>
            <w:r>
              <w:rPr>
                <w:rFonts w:hint="eastAsia" w:hAnsi="宋体"/>
                <w:szCs w:val="21"/>
              </w:rPr>
              <w:t>(0.01～20) m/s</w:t>
            </w:r>
            <w:r>
              <w:rPr>
                <w:rFonts w:hint="eastAsia" w:hAnsi="宋体"/>
                <w:szCs w:val="21"/>
                <w:vertAlign w:val="superscript"/>
              </w:rPr>
              <w:t>2</w:t>
            </w:r>
          </w:p>
        </w:tc>
        <w:tc>
          <w:tcPr>
            <w:tcW w:w="2629" w:type="dxa"/>
          </w:tcPr>
          <w:p>
            <w:pPr>
              <w:spacing w:line="300" w:lineRule="auto"/>
              <w:jc w:val="center"/>
              <w:rPr>
                <w:rFonts w:hAnsi="宋体"/>
                <w:szCs w:val="21"/>
              </w:rPr>
            </w:pPr>
            <w:r>
              <w:rPr>
                <w:rFonts w:hint="eastAsia"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pPr>
              <w:spacing w:line="300" w:lineRule="auto"/>
              <w:jc w:val="center"/>
              <w:rPr>
                <w:rFonts w:hAnsi="宋体"/>
                <w:szCs w:val="21"/>
              </w:rPr>
            </w:pPr>
            <w:r>
              <w:rPr>
                <w:rFonts w:hint="eastAsia" w:hAnsi="宋体"/>
                <w:szCs w:val="21"/>
              </w:rPr>
              <w:t>2</w:t>
            </w:r>
          </w:p>
        </w:tc>
        <w:tc>
          <w:tcPr>
            <w:tcW w:w="2785" w:type="dxa"/>
          </w:tcPr>
          <w:p>
            <w:pPr>
              <w:spacing w:line="300" w:lineRule="auto"/>
              <w:jc w:val="center"/>
              <w:rPr>
                <w:rFonts w:hAnsi="宋体"/>
                <w:szCs w:val="21"/>
              </w:rPr>
            </w:pPr>
            <w:r>
              <w:rPr>
                <w:rFonts w:hint="eastAsia" w:hAnsi="宋体"/>
                <w:szCs w:val="21"/>
              </w:rPr>
              <w:t>速度峰值示值误差</w:t>
            </w:r>
            <w:r>
              <w:rPr>
                <w:rFonts w:hint="eastAsia" w:ascii="宋体" w:hAnsi="宋体" w:cs="宋体"/>
                <w:szCs w:val="21"/>
              </w:rPr>
              <w:t>（如适用）</w:t>
            </w:r>
          </w:p>
        </w:tc>
        <w:tc>
          <w:tcPr>
            <w:tcW w:w="2099" w:type="dxa"/>
          </w:tcPr>
          <w:p>
            <w:pPr>
              <w:spacing w:line="300" w:lineRule="auto"/>
              <w:jc w:val="center"/>
              <w:rPr>
                <w:rFonts w:hAnsi="宋体"/>
                <w:szCs w:val="21"/>
              </w:rPr>
            </w:pPr>
            <w:r>
              <w:rPr>
                <w:rFonts w:hint="eastAsia" w:hAnsi="宋体"/>
                <w:szCs w:val="21"/>
              </w:rPr>
              <w:t>(0.1～100) mm/s</w:t>
            </w:r>
          </w:p>
        </w:tc>
        <w:tc>
          <w:tcPr>
            <w:tcW w:w="2629" w:type="dxa"/>
            <w:vAlign w:val="center"/>
          </w:tcPr>
          <w:p>
            <w:pPr>
              <w:spacing w:line="300" w:lineRule="auto"/>
              <w:jc w:val="center"/>
              <w:rPr>
                <w:rFonts w:hAnsi="宋体"/>
                <w:szCs w:val="21"/>
              </w:rPr>
            </w:pPr>
            <w:r>
              <w:rPr>
                <w:rFonts w:hint="eastAsia"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pPr>
              <w:spacing w:line="300" w:lineRule="auto"/>
              <w:jc w:val="center"/>
              <w:rPr>
                <w:rFonts w:hAnsi="宋体"/>
                <w:szCs w:val="21"/>
              </w:rPr>
            </w:pPr>
            <w:r>
              <w:rPr>
                <w:rFonts w:hint="eastAsia" w:hAnsi="宋体"/>
                <w:szCs w:val="21"/>
              </w:rPr>
              <w:t>3</w:t>
            </w:r>
          </w:p>
        </w:tc>
        <w:tc>
          <w:tcPr>
            <w:tcW w:w="2785" w:type="dxa"/>
          </w:tcPr>
          <w:p>
            <w:pPr>
              <w:spacing w:line="300" w:lineRule="auto"/>
              <w:jc w:val="center"/>
              <w:rPr>
                <w:rFonts w:hAnsi="宋体"/>
                <w:szCs w:val="21"/>
              </w:rPr>
            </w:pPr>
            <w:r>
              <w:rPr>
                <w:rFonts w:hint="eastAsia" w:hAnsi="宋体"/>
                <w:szCs w:val="21"/>
              </w:rPr>
              <w:t>加速度幅值线性度</w:t>
            </w:r>
          </w:p>
        </w:tc>
        <w:tc>
          <w:tcPr>
            <w:tcW w:w="2099" w:type="dxa"/>
          </w:tcPr>
          <w:p>
            <w:pPr>
              <w:spacing w:line="300" w:lineRule="auto"/>
              <w:jc w:val="center"/>
              <w:rPr>
                <w:rFonts w:hAnsi="宋体"/>
                <w:szCs w:val="21"/>
              </w:rPr>
            </w:pPr>
            <w:r>
              <w:rPr>
                <w:rFonts w:hint="eastAsia" w:hAnsi="宋体"/>
                <w:szCs w:val="21"/>
              </w:rPr>
              <w:t>(0.01～20) m/s</w:t>
            </w:r>
            <w:r>
              <w:rPr>
                <w:rFonts w:hint="eastAsia" w:hAnsi="宋体"/>
                <w:szCs w:val="21"/>
                <w:vertAlign w:val="superscript"/>
              </w:rPr>
              <w:t>2</w:t>
            </w:r>
          </w:p>
        </w:tc>
        <w:tc>
          <w:tcPr>
            <w:tcW w:w="2629" w:type="dxa"/>
          </w:tcPr>
          <w:p>
            <w:pPr>
              <w:spacing w:line="300" w:lineRule="auto"/>
              <w:jc w:val="center"/>
              <w:rPr>
                <w:rFonts w:hAnsi="宋体"/>
                <w:szCs w:val="21"/>
              </w:rPr>
            </w:pPr>
            <w:r>
              <w:rPr>
                <w:rFonts w:hint="eastAsia" w:hAnsi="宋体"/>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pPr>
              <w:spacing w:line="300" w:lineRule="auto"/>
              <w:jc w:val="center"/>
              <w:rPr>
                <w:rFonts w:hAnsi="宋体"/>
                <w:szCs w:val="21"/>
              </w:rPr>
            </w:pPr>
            <w:r>
              <w:rPr>
                <w:rFonts w:hint="eastAsia" w:hAnsi="宋体"/>
                <w:szCs w:val="21"/>
              </w:rPr>
              <w:t>4</w:t>
            </w:r>
          </w:p>
        </w:tc>
        <w:tc>
          <w:tcPr>
            <w:tcW w:w="2785" w:type="dxa"/>
          </w:tcPr>
          <w:p>
            <w:pPr>
              <w:spacing w:line="300" w:lineRule="auto"/>
              <w:jc w:val="center"/>
              <w:rPr>
                <w:rFonts w:hAnsi="宋体"/>
                <w:szCs w:val="21"/>
              </w:rPr>
            </w:pPr>
            <w:r>
              <w:rPr>
                <w:rFonts w:hint="eastAsia" w:hAnsi="宋体"/>
                <w:szCs w:val="21"/>
              </w:rPr>
              <w:t>加速度分辨力</w:t>
            </w:r>
          </w:p>
        </w:tc>
        <w:tc>
          <w:tcPr>
            <w:tcW w:w="2099" w:type="dxa"/>
          </w:tcPr>
          <w:p>
            <w:pPr>
              <w:spacing w:line="300" w:lineRule="auto"/>
              <w:jc w:val="center"/>
              <w:rPr>
                <w:rFonts w:hAnsi="宋体"/>
                <w:szCs w:val="21"/>
              </w:rPr>
            </w:pPr>
            <w:r>
              <w:rPr>
                <w:rFonts w:hint="eastAsia" w:hAnsi="宋体"/>
                <w:szCs w:val="21"/>
              </w:rPr>
              <w:t>(0.01～20) m/s</w:t>
            </w:r>
            <w:r>
              <w:rPr>
                <w:rFonts w:hint="eastAsia" w:hAnsi="宋体"/>
                <w:szCs w:val="21"/>
                <w:vertAlign w:val="superscript"/>
              </w:rPr>
              <w:t>2</w:t>
            </w:r>
          </w:p>
        </w:tc>
        <w:tc>
          <w:tcPr>
            <w:tcW w:w="2629" w:type="dxa"/>
          </w:tcPr>
          <w:p>
            <w:pPr>
              <w:spacing w:line="300" w:lineRule="auto"/>
              <w:jc w:val="center"/>
              <w:rPr>
                <w:rFonts w:hAnsi="宋体"/>
                <w:szCs w:val="21"/>
              </w:rPr>
            </w:pPr>
            <w:r>
              <w:rPr>
                <w:rFonts w:hint="eastAsia" w:hAnsi="宋体"/>
                <w:szCs w:val="21"/>
              </w:rPr>
              <w:t>0.01 m/s</w:t>
            </w:r>
            <w:r>
              <w:rPr>
                <w:rFonts w:hint="eastAsia" w:hAnsi="宋体"/>
                <w:szCs w:val="21"/>
                <w:vertAlign w:val="superscript"/>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pPr>
              <w:spacing w:line="300" w:lineRule="auto"/>
              <w:jc w:val="center"/>
              <w:rPr>
                <w:rFonts w:hAnsi="宋体"/>
                <w:szCs w:val="21"/>
              </w:rPr>
            </w:pPr>
            <w:r>
              <w:rPr>
                <w:rFonts w:hint="eastAsia" w:hAnsi="宋体"/>
                <w:szCs w:val="21"/>
              </w:rPr>
              <w:t>5</w:t>
            </w:r>
          </w:p>
        </w:tc>
        <w:tc>
          <w:tcPr>
            <w:tcW w:w="2785" w:type="dxa"/>
          </w:tcPr>
          <w:p>
            <w:pPr>
              <w:spacing w:line="300" w:lineRule="auto"/>
              <w:jc w:val="center"/>
              <w:rPr>
                <w:rFonts w:hAnsi="宋体"/>
                <w:szCs w:val="21"/>
              </w:rPr>
            </w:pPr>
            <w:r>
              <w:rPr>
                <w:rFonts w:hint="eastAsia" w:hAnsi="宋体"/>
                <w:szCs w:val="21"/>
              </w:rPr>
              <w:t>时间示值相对误差</w:t>
            </w:r>
            <w:r>
              <w:rPr>
                <w:rFonts w:hint="eastAsia" w:ascii="宋体" w:hAnsi="宋体" w:cs="宋体"/>
                <w:szCs w:val="21"/>
              </w:rPr>
              <w:t>（如适用）</w:t>
            </w:r>
          </w:p>
        </w:tc>
        <w:tc>
          <w:tcPr>
            <w:tcW w:w="2099" w:type="dxa"/>
          </w:tcPr>
          <w:p>
            <w:pPr>
              <w:spacing w:line="300" w:lineRule="auto"/>
              <w:jc w:val="center"/>
              <w:rPr>
                <w:rFonts w:hAnsi="宋体"/>
                <w:szCs w:val="21"/>
              </w:rPr>
            </w:pPr>
            <w:r>
              <w:rPr>
                <w:rFonts w:hint="eastAsia" w:hAnsi="宋体"/>
                <w:szCs w:val="21"/>
              </w:rPr>
              <w:t>(10～2000) ms</w:t>
            </w:r>
          </w:p>
        </w:tc>
        <w:tc>
          <w:tcPr>
            <w:tcW w:w="2629" w:type="dxa"/>
          </w:tcPr>
          <w:p>
            <w:pPr>
              <w:spacing w:line="300" w:lineRule="auto"/>
              <w:jc w:val="center"/>
              <w:rPr>
                <w:rFonts w:hAnsi="宋体"/>
                <w:szCs w:val="21"/>
              </w:rPr>
            </w:pPr>
            <w:r>
              <w:rPr>
                <w:rFonts w:hint="eastAsia" w:hAnsi="宋体"/>
                <w:szCs w:val="21"/>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9" w:type="dxa"/>
          </w:tcPr>
          <w:p>
            <w:pPr>
              <w:spacing w:line="300" w:lineRule="auto"/>
              <w:jc w:val="center"/>
              <w:rPr>
                <w:rFonts w:hAnsi="宋体"/>
                <w:szCs w:val="21"/>
              </w:rPr>
            </w:pPr>
            <w:r>
              <w:rPr>
                <w:rFonts w:hint="eastAsia" w:hAnsi="宋体"/>
                <w:szCs w:val="21"/>
              </w:rPr>
              <w:t>6</w:t>
            </w:r>
          </w:p>
        </w:tc>
        <w:tc>
          <w:tcPr>
            <w:tcW w:w="2785" w:type="dxa"/>
          </w:tcPr>
          <w:p>
            <w:pPr>
              <w:spacing w:line="300" w:lineRule="auto"/>
              <w:jc w:val="center"/>
              <w:rPr>
                <w:rFonts w:hAnsi="宋体"/>
                <w:szCs w:val="21"/>
              </w:rPr>
            </w:pPr>
            <w:r>
              <w:rPr>
                <w:rFonts w:hint="eastAsia" w:hAnsi="宋体"/>
                <w:szCs w:val="21"/>
              </w:rPr>
              <w:t>声压级示值误差</w:t>
            </w:r>
          </w:p>
        </w:tc>
        <w:tc>
          <w:tcPr>
            <w:tcW w:w="2099" w:type="dxa"/>
          </w:tcPr>
          <w:p>
            <w:pPr>
              <w:spacing w:line="300" w:lineRule="auto"/>
              <w:jc w:val="center"/>
              <w:rPr>
                <w:rFonts w:hAnsi="宋体"/>
                <w:szCs w:val="21"/>
              </w:rPr>
            </w:pPr>
            <w:r>
              <w:rPr>
                <w:rFonts w:hint="eastAsia" w:hAnsi="宋体"/>
                <w:szCs w:val="21"/>
              </w:rPr>
              <w:t>(30～120) dB</w:t>
            </w:r>
          </w:p>
        </w:tc>
        <w:tc>
          <w:tcPr>
            <w:tcW w:w="2629" w:type="dxa"/>
          </w:tcPr>
          <w:p>
            <w:pPr>
              <w:spacing w:line="300" w:lineRule="auto"/>
              <w:jc w:val="center"/>
              <w:rPr>
                <w:rFonts w:hAnsi="宋体"/>
                <w:szCs w:val="21"/>
              </w:rPr>
            </w:pPr>
            <w:r>
              <w:rPr>
                <w:rFonts w:hint="eastAsia" w:hAnsi="宋体"/>
                <w:szCs w:val="21"/>
              </w:rPr>
              <w:t>参考声压级处：±0.3dB</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4"/>
          </w:tcPr>
          <w:p>
            <w:pPr>
              <w:spacing w:line="300" w:lineRule="auto"/>
              <w:jc w:val="left"/>
              <w:rPr>
                <w:rFonts w:hAnsi="宋体"/>
                <w:sz w:val="18"/>
                <w:szCs w:val="18"/>
              </w:rPr>
            </w:pPr>
            <w:r>
              <w:rPr>
                <w:rFonts w:hint="eastAsia" w:ascii="宋体" w:hAnsi="宋体" w:cs="宋体"/>
                <w:sz w:val="18"/>
                <w:szCs w:val="18"/>
              </w:rPr>
              <w:t>注： “如适用”表示根据仪器功能进行校准的项目。</w:t>
            </w:r>
          </w:p>
        </w:tc>
      </w:tr>
    </w:tbl>
    <w:p>
      <w:pPr>
        <w:spacing w:line="360" w:lineRule="auto"/>
        <w:rPr>
          <w:szCs w:val="21"/>
        </w:rPr>
      </w:pPr>
      <w:r>
        <w:rPr>
          <w:rFonts w:hint="eastAsia" w:hAnsi="宋体"/>
          <w:szCs w:val="21"/>
        </w:rPr>
        <w:t>注：以上指标不用于合格性判别，仅供参考。</w:t>
      </w:r>
    </w:p>
    <w:p>
      <w:pPr>
        <w:spacing w:line="360" w:lineRule="auto"/>
        <w:rPr>
          <w:b/>
          <w:sz w:val="24"/>
        </w:rPr>
      </w:pPr>
      <w:r>
        <w:rPr>
          <w:rFonts w:hint="eastAsia"/>
          <w:sz w:val="24"/>
        </w:rPr>
        <w:t>6</w:t>
      </w:r>
      <w:r>
        <w:rPr>
          <w:rFonts w:hint="eastAsia" w:ascii="黑体" w:hAnsi="黑体" w:eastAsia="黑体"/>
          <w:sz w:val="24"/>
        </w:rPr>
        <w:t xml:space="preserve">  校准条件</w:t>
      </w:r>
    </w:p>
    <w:p>
      <w:pPr>
        <w:spacing w:line="360" w:lineRule="auto"/>
        <w:rPr>
          <w:sz w:val="24"/>
        </w:rPr>
      </w:pPr>
      <w:r>
        <w:rPr>
          <w:rFonts w:hint="eastAsia"/>
          <w:sz w:val="24"/>
        </w:rPr>
        <w:t xml:space="preserve">6.1  </w:t>
      </w:r>
      <w:r>
        <w:rPr>
          <w:rFonts w:hint="eastAsia" w:hAnsi="宋体"/>
          <w:sz w:val="24"/>
        </w:rPr>
        <w:t>环境条件</w:t>
      </w:r>
    </w:p>
    <w:p>
      <w:pPr>
        <w:spacing w:line="360" w:lineRule="auto"/>
        <w:rPr>
          <w:sz w:val="24"/>
        </w:rPr>
      </w:pPr>
      <w:r>
        <w:rPr>
          <w:rFonts w:hint="eastAsia"/>
          <w:sz w:val="24"/>
        </w:rPr>
        <w:t xml:space="preserve">6.1.1  </w:t>
      </w:r>
      <w:r>
        <w:rPr>
          <w:rFonts w:hint="eastAsia" w:hAnsi="宋体"/>
          <w:sz w:val="24"/>
        </w:rPr>
        <w:t>温度：（</w:t>
      </w:r>
      <w:r>
        <w:rPr>
          <w:rFonts w:hint="eastAsia"/>
          <w:sz w:val="24"/>
        </w:rPr>
        <w:t>20±5</w:t>
      </w:r>
      <w:r>
        <w:rPr>
          <w:rFonts w:hint="eastAsia" w:hAnsi="宋体"/>
          <w:sz w:val="24"/>
        </w:rPr>
        <w:t>）</w:t>
      </w:r>
      <w:r>
        <w:rPr>
          <w:rFonts w:hint="eastAsia"/>
          <w:sz w:val="24"/>
        </w:rPr>
        <w:t>℃</w:t>
      </w:r>
      <w:r>
        <w:rPr>
          <w:rFonts w:hint="eastAsia" w:hAnsi="宋体"/>
          <w:sz w:val="24"/>
        </w:rPr>
        <w:t>：</w:t>
      </w:r>
    </w:p>
    <w:p>
      <w:pPr>
        <w:spacing w:line="360" w:lineRule="auto"/>
        <w:rPr>
          <w:sz w:val="24"/>
        </w:rPr>
      </w:pPr>
      <w:r>
        <w:rPr>
          <w:rFonts w:hint="eastAsia"/>
          <w:sz w:val="24"/>
        </w:rPr>
        <w:t xml:space="preserve">6.1.2  </w:t>
      </w:r>
      <w:r>
        <w:rPr>
          <w:rFonts w:hint="eastAsia" w:hAnsi="宋体"/>
          <w:sz w:val="24"/>
        </w:rPr>
        <w:t>相对湿度：</w:t>
      </w:r>
      <w:r>
        <w:rPr>
          <w:rFonts w:hint="eastAsia"/>
          <w:sz w:val="24"/>
        </w:rPr>
        <w:t>≤80%</w:t>
      </w:r>
    </w:p>
    <w:p>
      <w:pPr>
        <w:spacing w:line="300" w:lineRule="auto"/>
        <w:rPr>
          <w:sz w:val="24"/>
        </w:rPr>
      </w:pPr>
      <w:r>
        <w:rPr>
          <w:rFonts w:hint="eastAsia"/>
          <w:sz w:val="24"/>
        </w:rPr>
        <w:t>6.1.3  电源电压的变化应在额定电压的±10%范围内；</w:t>
      </w:r>
    </w:p>
    <w:p>
      <w:pPr>
        <w:spacing w:line="360" w:lineRule="auto"/>
        <w:ind w:firstLine="480" w:firstLineChars="200"/>
        <w:rPr>
          <w:sz w:val="24"/>
        </w:rPr>
      </w:pPr>
      <w:r>
        <w:rPr>
          <w:rFonts w:hint="eastAsia" w:hAnsi="宋体" w:cs="宋体"/>
          <w:kern w:val="0"/>
          <w:sz w:val="24"/>
        </w:rPr>
        <w:t>周围无强电磁场干扰；无腐蚀性气、液体；无振动、冲击源。</w:t>
      </w:r>
    </w:p>
    <w:p>
      <w:pPr>
        <w:spacing w:line="360" w:lineRule="auto"/>
        <w:rPr>
          <w:sz w:val="24"/>
        </w:rPr>
      </w:pPr>
      <w:r>
        <w:rPr>
          <w:rFonts w:hint="eastAsia"/>
          <w:sz w:val="24"/>
        </w:rPr>
        <w:t xml:space="preserve">6.2  </w:t>
      </w:r>
      <w:r>
        <w:rPr>
          <w:rFonts w:hint="eastAsia" w:hAnsi="宋体"/>
          <w:sz w:val="24"/>
        </w:rPr>
        <w:t>标准器</w:t>
      </w:r>
    </w:p>
    <w:p>
      <w:pPr>
        <w:spacing w:line="300" w:lineRule="auto"/>
        <w:rPr>
          <w:sz w:val="24"/>
        </w:rPr>
      </w:pPr>
      <w:r>
        <w:rPr>
          <w:rFonts w:hint="eastAsia"/>
          <w:sz w:val="24"/>
        </w:rPr>
        <w:t>6.2.1  振动标准装置</w:t>
      </w:r>
    </w:p>
    <w:p>
      <w:pPr>
        <w:spacing w:line="360" w:lineRule="auto"/>
        <w:ind w:firstLine="480" w:firstLineChars="200"/>
        <w:rPr>
          <w:rFonts w:hAnsi="宋体"/>
          <w:sz w:val="24"/>
        </w:rPr>
      </w:pPr>
      <w:r>
        <w:rPr>
          <w:rFonts w:hint="eastAsia"/>
          <w:sz w:val="24"/>
        </w:rPr>
        <w:t>比较法振动标准装置，频率范围应覆盖（0.5~100）Hz，加速度、速度、位移测量不确定度优于3.0%</w:t>
      </w:r>
      <w:r>
        <w:rPr>
          <w:sz w:val="24"/>
        </w:rPr>
        <w:t>（</w:t>
      </w:r>
      <w:r>
        <w:rPr>
          <w:i/>
          <w:sz w:val="24"/>
        </w:rPr>
        <w:t>k</w:t>
      </w:r>
      <w:r>
        <w:rPr>
          <w:sz w:val="24"/>
        </w:rPr>
        <w:t>=2）</w:t>
      </w:r>
      <w:r>
        <w:rPr>
          <w:rFonts w:hint="eastAsia" w:hAnsi="宋体"/>
          <w:sz w:val="24"/>
        </w:rPr>
        <w:t>；</w:t>
      </w:r>
    </w:p>
    <w:p>
      <w:pPr>
        <w:spacing w:line="360" w:lineRule="auto"/>
        <w:ind w:firstLine="480" w:firstLineChars="200"/>
        <w:rPr>
          <w:sz w:val="24"/>
        </w:rPr>
      </w:pPr>
      <w:r>
        <w:rPr>
          <w:rFonts w:hint="eastAsia"/>
          <w:sz w:val="24"/>
        </w:rPr>
        <w:t>绝对法振动标准装置，频率范围应覆盖（0.5~100）Hz，加速度、速度、位移测量不确定度优于1.0%</w:t>
      </w:r>
      <w:r>
        <w:rPr>
          <w:sz w:val="24"/>
        </w:rPr>
        <w:t>（</w:t>
      </w:r>
      <w:r>
        <w:rPr>
          <w:i/>
          <w:sz w:val="24"/>
        </w:rPr>
        <w:t>k</w:t>
      </w:r>
      <w:r>
        <w:rPr>
          <w:sz w:val="24"/>
        </w:rPr>
        <w:t>=2）</w:t>
      </w:r>
      <w:r>
        <w:rPr>
          <w:rFonts w:hint="eastAsia" w:hAnsi="宋体"/>
          <w:sz w:val="24"/>
        </w:rPr>
        <w:t>；</w:t>
      </w:r>
    </w:p>
    <w:p>
      <w:pPr>
        <w:spacing w:line="360" w:lineRule="auto"/>
        <w:rPr>
          <w:rFonts w:cs="宋体"/>
          <w:sz w:val="24"/>
        </w:rPr>
      </w:pPr>
      <w:r>
        <w:rPr>
          <w:rFonts w:hint="eastAsia"/>
          <w:sz w:val="24"/>
        </w:rPr>
        <w:t xml:space="preserve">6.2.2  </w:t>
      </w:r>
      <w:r>
        <w:rPr>
          <w:rFonts w:hint="eastAsia" w:hAnsi="宋体" w:cs="宋体"/>
          <w:sz w:val="24"/>
        </w:rPr>
        <w:t>数字多用表（可选），频率范围</w:t>
      </w:r>
      <w:r>
        <w:rPr>
          <w:rFonts w:hint="eastAsia" w:cs="宋体"/>
          <w:sz w:val="24"/>
        </w:rPr>
        <w:t>10Hz</w:t>
      </w:r>
      <w:r>
        <w:rPr>
          <w:rFonts w:hint="eastAsia"/>
          <w:sz w:val="24"/>
        </w:rPr>
        <w:t>~</w:t>
      </w:r>
      <w:r>
        <w:rPr>
          <w:rFonts w:hint="eastAsia" w:cs="宋体"/>
          <w:sz w:val="24"/>
        </w:rPr>
        <w:t>20kHz</w:t>
      </w:r>
      <w:r>
        <w:rPr>
          <w:rFonts w:hint="eastAsia" w:hAnsi="宋体" w:cs="宋体"/>
          <w:sz w:val="24"/>
        </w:rPr>
        <w:t>，电压测量最大允许误差优于</w:t>
      </w:r>
      <w:r>
        <w:rPr>
          <w:rFonts w:hint="eastAsia"/>
          <w:sz w:val="24"/>
        </w:rPr>
        <w:t>±</w:t>
      </w:r>
      <w:r>
        <w:rPr>
          <w:rFonts w:hint="eastAsia" w:cs="宋体"/>
          <w:sz w:val="24"/>
        </w:rPr>
        <w:t>0.2%</w:t>
      </w:r>
      <w:r>
        <w:rPr>
          <w:rFonts w:hint="eastAsia" w:hAnsi="宋体" w:cs="宋体"/>
          <w:sz w:val="24"/>
        </w:rPr>
        <w:t>。</w:t>
      </w:r>
    </w:p>
    <w:p>
      <w:pPr>
        <w:spacing w:line="360" w:lineRule="auto"/>
        <w:rPr>
          <w:sz w:val="24"/>
        </w:rPr>
      </w:pPr>
      <w:r>
        <w:rPr>
          <w:rFonts w:hint="eastAsia"/>
          <w:sz w:val="24"/>
        </w:rPr>
        <w:t xml:space="preserve">6.2.3  </w:t>
      </w:r>
      <w:r>
        <w:rPr>
          <w:rFonts w:hint="eastAsia" w:hAnsi="宋体" w:cs="宋体"/>
          <w:sz w:val="24"/>
        </w:rPr>
        <w:t>动态信号分析仪，分析带宽不小于</w:t>
      </w:r>
      <w:r>
        <w:rPr>
          <w:rFonts w:hint="eastAsia" w:cs="宋体"/>
          <w:sz w:val="24"/>
        </w:rPr>
        <w:t>10 kHz</w:t>
      </w:r>
      <w:r>
        <w:rPr>
          <w:rFonts w:hint="eastAsia" w:hAnsi="宋体" w:cs="宋体"/>
          <w:sz w:val="24"/>
        </w:rPr>
        <w:t>，至少有</w:t>
      </w:r>
      <w:r>
        <w:rPr>
          <w:rFonts w:hint="eastAsia" w:cs="宋体"/>
          <w:sz w:val="24"/>
        </w:rPr>
        <w:t>2</w:t>
      </w:r>
      <w:r>
        <w:rPr>
          <w:rFonts w:hint="eastAsia" w:hAnsi="宋体" w:cs="宋体"/>
          <w:sz w:val="24"/>
        </w:rPr>
        <w:t>个同步采样通道，频率精度优于</w:t>
      </w:r>
      <w:r>
        <w:rPr>
          <w:rFonts w:hint="eastAsia" w:cs="宋体"/>
          <w:sz w:val="24"/>
        </w:rPr>
        <w:t>0.1%</w:t>
      </w:r>
      <w:r>
        <w:rPr>
          <w:rFonts w:hint="eastAsia" w:hAnsi="宋体" w:cs="宋体"/>
          <w:sz w:val="24"/>
        </w:rPr>
        <w:t>，幅值精度优于</w:t>
      </w:r>
      <w:r>
        <w:rPr>
          <w:rFonts w:hint="eastAsia" w:cs="宋体"/>
          <w:sz w:val="24"/>
        </w:rPr>
        <w:t>1%</w:t>
      </w:r>
      <w:r>
        <w:rPr>
          <w:rFonts w:hint="eastAsia" w:hAnsi="宋体" w:cs="宋体"/>
          <w:sz w:val="24"/>
        </w:rPr>
        <w:t>。</w:t>
      </w:r>
    </w:p>
    <w:p>
      <w:pPr>
        <w:spacing w:line="360" w:lineRule="auto"/>
        <w:rPr>
          <w:sz w:val="24"/>
        </w:rPr>
      </w:pPr>
      <w:r>
        <w:rPr>
          <w:rFonts w:hint="eastAsia"/>
          <w:sz w:val="24"/>
        </w:rPr>
        <w:t xml:space="preserve">6.2.4  </w:t>
      </w:r>
      <w:r>
        <w:rPr>
          <w:rFonts w:hint="eastAsia" w:hAnsi="宋体"/>
          <w:sz w:val="24"/>
        </w:rPr>
        <w:t>声校准器：性能等级应符合</w:t>
      </w:r>
      <w:r>
        <w:rPr>
          <w:rFonts w:hint="eastAsia"/>
          <w:sz w:val="24"/>
        </w:rPr>
        <w:t>J</w:t>
      </w:r>
      <w:r>
        <w:rPr>
          <w:sz w:val="24"/>
        </w:rPr>
        <w:t>JG 176</w:t>
      </w:r>
      <w:r>
        <w:rPr>
          <w:rFonts w:hint="eastAsia" w:hAnsi="宋体"/>
          <w:sz w:val="24"/>
        </w:rPr>
        <w:t>中规定的LS级或</w:t>
      </w:r>
      <w:r>
        <w:rPr>
          <w:rFonts w:hint="eastAsia"/>
          <w:sz w:val="24"/>
        </w:rPr>
        <w:t>1</w:t>
      </w:r>
      <w:r>
        <w:rPr>
          <w:rFonts w:hint="eastAsia" w:hAnsi="宋体"/>
          <w:sz w:val="24"/>
        </w:rPr>
        <w:t>级。</w:t>
      </w:r>
    </w:p>
    <w:p>
      <w:pPr>
        <w:spacing w:line="360" w:lineRule="auto"/>
        <w:rPr>
          <w:b/>
          <w:sz w:val="24"/>
        </w:rPr>
      </w:pPr>
      <w:r>
        <w:rPr>
          <w:rFonts w:hint="eastAsia"/>
          <w:sz w:val="24"/>
        </w:rPr>
        <w:t>7</w:t>
      </w:r>
      <w:r>
        <w:rPr>
          <w:rFonts w:hint="eastAsia" w:ascii="黑体" w:hAnsi="黑体" w:eastAsia="黑体"/>
          <w:sz w:val="24"/>
        </w:rPr>
        <w:t xml:space="preserve">  校准项目和校准方法</w:t>
      </w:r>
    </w:p>
    <w:p>
      <w:pPr>
        <w:spacing w:line="360" w:lineRule="auto"/>
        <w:rPr>
          <w:sz w:val="24"/>
        </w:rPr>
      </w:pPr>
      <w:r>
        <w:rPr>
          <w:rFonts w:hint="eastAsia"/>
          <w:sz w:val="24"/>
        </w:rPr>
        <w:t xml:space="preserve">7.1  </w:t>
      </w:r>
      <w:r>
        <w:rPr>
          <w:rFonts w:hint="eastAsia" w:hAnsi="宋体"/>
          <w:sz w:val="24"/>
        </w:rPr>
        <w:t>校准项目</w:t>
      </w:r>
    </w:p>
    <w:p>
      <w:pPr>
        <w:spacing w:line="360" w:lineRule="auto"/>
        <w:ind w:firstLine="480" w:firstLineChars="200"/>
        <w:rPr>
          <w:rFonts w:hAnsi="宋体"/>
          <w:sz w:val="24"/>
        </w:rPr>
      </w:pPr>
      <w:r>
        <w:rPr>
          <w:rFonts w:hint="eastAsia" w:hAnsi="宋体"/>
          <w:sz w:val="24"/>
        </w:rPr>
        <w:t>校准项目见表2。</w:t>
      </w:r>
    </w:p>
    <w:p>
      <w:pPr>
        <w:spacing w:line="300" w:lineRule="auto"/>
        <w:jc w:val="center"/>
        <w:rPr>
          <w:rFonts w:ascii="宋体" w:hAnsi="宋体" w:eastAsia="黑体"/>
          <w:sz w:val="24"/>
        </w:rPr>
      </w:pPr>
      <w:r>
        <w:rPr>
          <w:rFonts w:hint="eastAsia" w:eastAsia="黑体"/>
          <w:szCs w:val="21"/>
        </w:rPr>
        <w:t>表2校准项目和校准方法</w:t>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42"/>
        <w:gridCol w:w="3538"/>
        <w:gridCol w:w="36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2" w:type="dxa"/>
          </w:tcPr>
          <w:p>
            <w:pPr>
              <w:spacing w:line="300" w:lineRule="auto"/>
              <w:jc w:val="center"/>
              <w:rPr>
                <w:rFonts w:hAnsi="宋体"/>
                <w:szCs w:val="21"/>
              </w:rPr>
            </w:pPr>
            <w:r>
              <w:rPr>
                <w:rFonts w:hint="eastAsia" w:hAnsi="宋体"/>
                <w:szCs w:val="21"/>
              </w:rPr>
              <w:t>序号</w:t>
            </w:r>
          </w:p>
        </w:tc>
        <w:tc>
          <w:tcPr>
            <w:tcW w:w="3538" w:type="dxa"/>
          </w:tcPr>
          <w:p>
            <w:pPr>
              <w:spacing w:line="300" w:lineRule="auto"/>
              <w:jc w:val="center"/>
              <w:rPr>
                <w:rFonts w:hAnsi="宋体"/>
                <w:szCs w:val="21"/>
              </w:rPr>
            </w:pPr>
            <w:r>
              <w:rPr>
                <w:rFonts w:hint="eastAsia" w:hAnsi="宋体"/>
                <w:szCs w:val="21"/>
              </w:rPr>
              <w:t>校准项目</w:t>
            </w:r>
          </w:p>
        </w:tc>
        <w:tc>
          <w:tcPr>
            <w:tcW w:w="3642" w:type="dxa"/>
          </w:tcPr>
          <w:p>
            <w:pPr>
              <w:spacing w:line="300" w:lineRule="auto"/>
              <w:jc w:val="center"/>
              <w:rPr>
                <w:rFonts w:hAnsi="宋体"/>
                <w:szCs w:val="21"/>
              </w:rPr>
            </w:pPr>
            <w:r>
              <w:rPr>
                <w:rFonts w:hint="eastAsia" w:hAnsi="宋体"/>
                <w:szCs w:val="21"/>
              </w:rPr>
              <w:t>校准方法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2" w:type="dxa"/>
          </w:tcPr>
          <w:p>
            <w:pPr>
              <w:spacing w:line="300" w:lineRule="auto"/>
              <w:jc w:val="center"/>
              <w:rPr>
                <w:rFonts w:hAnsi="宋体"/>
                <w:szCs w:val="21"/>
              </w:rPr>
            </w:pPr>
            <w:r>
              <w:rPr>
                <w:rFonts w:hint="eastAsia" w:hAnsi="宋体"/>
                <w:szCs w:val="21"/>
              </w:rPr>
              <w:t>1</w:t>
            </w:r>
          </w:p>
        </w:tc>
        <w:tc>
          <w:tcPr>
            <w:tcW w:w="3538" w:type="dxa"/>
          </w:tcPr>
          <w:p>
            <w:pPr>
              <w:spacing w:line="300" w:lineRule="auto"/>
              <w:jc w:val="center"/>
              <w:rPr>
                <w:rFonts w:hAnsi="宋体"/>
                <w:szCs w:val="21"/>
              </w:rPr>
            </w:pPr>
            <w:r>
              <w:rPr>
                <w:rFonts w:hint="eastAsia" w:hAnsi="宋体"/>
                <w:szCs w:val="21"/>
              </w:rPr>
              <w:t>加速度峰值示值误差</w:t>
            </w:r>
          </w:p>
        </w:tc>
        <w:tc>
          <w:tcPr>
            <w:tcW w:w="3642" w:type="dxa"/>
          </w:tcPr>
          <w:p>
            <w:pPr>
              <w:spacing w:line="300" w:lineRule="auto"/>
              <w:jc w:val="center"/>
              <w:rPr>
                <w:rFonts w:hAnsi="宋体"/>
                <w:szCs w:val="21"/>
              </w:rPr>
            </w:pPr>
            <w:r>
              <w:rPr>
                <w:rFonts w:hint="eastAsia" w:hAnsi="宋体"/>
                <w:szCs w:val="21"/>
              </w:rPr>
              <w:t>7.2.1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2" w:type="dxa"/>
          </w:tcPr>
          <w:p>
            <w:pPr>
              <w:spacing w:line="300" w:lineRule="auto"/>
              <w:jc w:val="center"/>
              <w:rPr>
                <w:rFonts w:hAnsi="宋体"/>
                <w:szCs w:val="21"/>
              </w:rPr>
            </w:pPr>
            <w:r>
              <w:rPr>
                <w:rFonts w:hint="eastAsia" w:hAnsi="宋体"/>
                <w:szCs w:val="21"/>
              </w:rPr>
              <w:t>2</w:t>
            </w:r>
          </w:p>
        </w:tc>
        <w:tc>
          <w:tcPr>
            <w:tcW w:w="3538" w:type="dxa"/>
          </w:tcPr>
          <w:p>
            <w:pPr>
              <w:spacing w:line="300" w:lineRule="auto"/>
              <w:jc w:val="center"/>
              <w:rPr>
                <w:rFonts w:hAnsi="宋体"/>
                <w:szCs w:val="21"/>
              </w:rPr>
            </w:pPr>
            <w:r>
              <w:rPr>
                <w:rFonts w:hint="eastAsia" w:hAnsi="宋体"/>
                <w:szCs w:val="21"/>
              </w:rPr>
              <w:t>速度峰值示值误差（如适用）</w:t>
            </w:r>
          </w:p>
        </w:tc>
        <w:tc>
          <w:tcPr>
            <w:tcW w:w="3642" w:type="dxa"/>
          </w:tcPr>
          <w:p>
            <w:pPr>
              <w:spacing w:line="300" w:lineRule="auto"/>
              <w:jc w:val="center"/>
              <w:rPr>
                <w:rFonts w:hAnsi="宋体"/>
                <w:szCs w:val="21"/>
              </w:rPr>
            </w:pPr>
            <w:r>
              <w:rPr>
                <w:rFonts w:hint="eastAsia" w:hAnsi="宋体"/>
                <w:szCs w:val="21"/>
              </w:rPr>
              <w:t>7.2.1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2" w:type="dxa"/>
          </w:tcPr>
          <w:p>
            <w:pPr>
              <w:spacing w:line="300" w:lineRule="auto"/>
              <w:jc w:val="center"/>
              <w:rPr>
                <w:rFonts w:hAnsi="宋体"/>
                <w:szCs w:val="21"/>
              </w:rPr>
            </w:pPr>
            <w:r>
              <w:rPr>
                <w:rFonts w:hint="eastAsia" w:hAnsi="宋体"/>
                <w:szCs w:val="21"/>
              </w:rPr>
              <w:t>3</w:t>
            </w:r>
          </w:p>
        </w:tc>
        <w:tc>
          <w:tcPr>
            <w:tcW w:w="3538" w:type="dxa"/>
          </w:tcPr>
          <w:p>
            <w:pPr>
              <w:spacing w:line="300" w:lineRule="auto"/>
              <w:jc w:val="center"/>
              <w:rPr>
                <w:rFonts w:hAnsi="宋体"/>
                <w:szCs w:val="21"/>
              </w:rPr>
            </w:pPr>
            <w:r>
              <w:rPr>
                <w:rFonts w:hint="eastAsia" w:hAnsi="宋体"/>
                <w:szCs w:val="21"/>
              </w:rPr>
              <w:t>加速度幅值线性度</w:t>
            </w:r>
          </w:p>
        </w:tc>
        <w:tc>
          <w:tcPr>
            <w:tcW w:w="3642" w:type="dxa"/>
          </w:tcPr>
          <w:p>
            <w:pPr>
              <w:spacing w:line="300" w:lineRule="auto"/>
              <w:jc w:val="center"/>
              <w:rPr>
                <w:rFonts w:hAnsi="宋体"/>
                <w:szCs w:val="21"/>
              </w:rPr>
            </w:pPr>
            <w:r>
              <w:rPr>
                <w:rFonts w:hint="eastAsia" w:hAnsi="宋体"/>
                <w:szCs w:val="21"/>
              </w:rPr>
              <w:t>7.2.2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2" w:type="dxa"/>
          </w:tcPr>
          <w:p>
            <w:pPr>
              <w:spacing w:line="300" w:lineRule="auto"/>
              <w:jc w:val="center"/>
              <w:rPr>
                <w:rFonts w:hAnsi="宋体"/>
                <w:szCs w:val="21"/>
              </w:rPr>
            </w:pPr>
            <w:r>
              <w:rPr>
                <w:rFonts w:hint="eastAsia" w:hAnsi="宋体"/>
                <w:szCs w:val="21"/>
              </w:rPr>
              <w:t>4</w:t>
            </w:r>
          </w:p>
        </w:tc>
        <w:tc>
          <w:tcPr>
            <w:tcW w:w="3538" w:type="dxa"/>
          </w:tcPr>
          <w:p>
            <w:pPr>
              <w:spacing w:line="300" w:lineRule="auto"/>
              <w:jc w:val="center"/>
              <w:rPr>
                <w:rFonts w:hAnsi="宋体"/>
                <w:szCs w:val="21"/>
              </w:rPr>
            </w:pPr>
            <w:r>
              <w:rPr>
                <w:rFonts w:hint="eastAsia" w:hAnsi="宋体"/>
                <w:szCs w:val="21"/>
              </w:rPr>
              <w:t>加速度分辨力</w:t>
            </w:r>
          </w:p>
        </w:tc>
        <w:tc>
          <w:tcPr>
            <w:tcW w:w="3642" w:type="dxa"/>
          </w:tcPr>
          <w:p>
            <w:pPr>
              <w:spacing w:line="300" w:lineRule="auto"/>
              <w:jc w:val="center"/>
              <w:rPr>
                <w:rFonts w:hAnsi="宋体"/>
                <w:szCs w:val="21"/>
              </w:rPr>
            </w:pPr>
            <w:r>
              <w:rPr>
                <w:rFonts w:hint="eastAsia" w:hAnsi="宋体"/>
                <w:szCs w:val="21"/>
              </w:rPr>
              <w:t>7.2.3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2" w:type="dxa"/>
          </w:tcPr>
          <w:p>
            <w:pPr>
              <w:spacing w:line="300" w:lineRule="auto"/>
              <w:jc w:val="center"/>
              <w:rPr>
                <w:rFonts w:hAnsi="宋体"/>
                <w:szCs w:val="21"/>
              </w:rPr>
            </w:pPr>
            <w:r>
              <w:rPr>
                <w:rFonts w:hint="eastAsia" w:hAnsi="宋体"/>
                <w:szCs w:val="21"/>
              </w:rPr>
              <w:t>5</w:t>
            </w:r>
          </w:p>
        </w:tc>
        <w:tc>
          <w:tcPr>
            <w:tcW w:w="3538" w:type="dxa"/>
          </w:tcPr>
          <w:p>
            <w:pPr>
              <w:spacing w:line="300" w:lineRule="auto"/>
              <w:jc w:val="center"/>
              <w:rPr>
                <w:rFonts w:hAnsi="宋体"/>
                <w:szCs w:val="21"/>
              </w:rPr>
            </w:pPr>
            <w:r>
              <w:rPr>
                <w:rFonts w:hint="eastAsia" w:hAnsi="宋体"/>
                <w:szCs w:val="21"/>
              </w:rPr>
              <w:t>时间示值相对误差（如适用）</w:t>
            </w:r>
          </w:p>
        </w:tc>
        <w:tc>
          <w:tcPr>
            <w:tcW w:w="3642" w:type="dxa"/>
          </w:tcPr>
          <w:p>
            <w:pPr>
              <w:spacing w:line="300" w:lineRule="auto"/>
              <w:jc w:val="center"/>
              <w:rPr>
                <w:rFonts w:hAnsi="宋体"/>
                <w:szCs w:val="21"/>
              </w:rPr>
            </w:pPr>
            <w:r>
              <w:rPr>
                <w:rFonts w:hint="eastAsia" w:hAnsi="宋体"/>
                <w:szCs w:val="21"/>
              </w:rPr>
              <w:t>7.2.4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42" w:type="dxa"/>
          </w:tcPr>
          <w:p>
            <w:pPr>
              <w:spacing w:line="300" w:lineRule="auto"/>
              <w:jc w:val="center"/>
              <w:rPr>
                <w:rFonts w:hAnsi="宋体"/>
                <w:szCs w:val="21"/>
              </w:rPr>
            </w:pPr>
            <w:r>
              <w:rPr>
                <w:rFonts w:hint="eastAsia" w:hAnsi="宋体"/>
                <w:szCs w:val="21"/>
              </w:rPr>
              <w:t>6</w:t>
            </w:r>
          </w:p>
        </w:tc>
        <w:tc>
          <w:tcPr>
            <w:tcW w:w="3538" w:type="dxa"/>
          </w:tcPr>
          <w:p>
            <w:pPr>
              <w:spacing w:line="300" w:lineRule="auto"/>
              <w:jc w:val="center"/>
              <w:rPr>
                <w:rFonts w:hAnsi="宋体"/>
                <w:szCs w:val="21"/>
              </w:rPr>
            </w:pPr>
            <w:r>
              <w:rPr>
                <w:rFonts w:hint="eastAsia" w:hAnsi="宋体"/>
                <w:szCs w:val="21"/>
              </w:rPr>
              <w:t>声压级示值误差</w:t>
            </w:r>
          </w:p>
        </w:tc>
        <w:tc>
          <w:tcPr>
            <w:tcW w:w="3642" w:type="dxa"/>
          </w:tcPr>
          <w:p>
            <w:pPr>
              <w:spacing w:line="300" w:lineRule="auto"/>
              <w:jc w:val="center"/>
              <w:rPr>
                <w:rFonts w:hAnsi="宋体"/>
                <w:szCs w:val="21"/>
              </w:rPr>
            </w:pPr>
            <w:r>
              <w:rPr>
                <w:rFonts w:hint="eastAsia" w:hAnsi="宋体"/>
                <w:szCs w:val="21"/>
              </w:rPr>
              <w:t>7.2.5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22" w:type="dxa"/>
            <w:gridSpan w:val="3"/>
          </w:tcPr>
          <w:p>
            <w:pPr>
              <w:spacing w:line="300" w:lineRule="auto"/>
              <w:jc w:val="left"/>
              <w:rPr>
                <w:rFonts w:hAnsi="宋体"/>
                <w:szCs w:val="21"/>
              </w:rPr>
            </w:pPr>
            <w:r>
              <w:rPr>
                <w:rFonts w:hint="eastAsia" w:ascii="宋体" w:hAnsi="宋体" w:cs="宋体"/>
                <w:sz w:val="18"/>
                <w:szCs w:val="18"/>
              </w:rPr>
              <w:t>注： “如适用”表示根据仪器功能进行校准的项目。</w:t>
            </w:r>
          </w:p>
        </w:tc>
      </w:tr>
    </w:tbl>
    <w:p>
      <w:pPr>
        <w:spacing w:line="360" w:lineRule="auto"/>
        <w:rPr>
          <w:sz w:val="24"/>
        </w:rPr>
      </w:pPr>
      <w:r>
        <w:rPr>
          <w:rFonts w:hint="eastAsia"/>
          <w:sz w:val="24"/>
        </w:rPr>
        <w:t xml:space="preserve">7.2  </w:t>
      </w:r>
      <w:r>
        <w:rPr>
          <w:rFonts w:hint="eastAsia" w:hAnsi="宋体"/>
          <w:sz w:val="24"/>
        </w:rPr>
        <w:t>校准方法</w:t>
      </w:r>
    </w:p>
    <w:p>
      <w:pPr>
        <w:spacing w:line="360" w:lineRule="auto"/>
        <w:rPr>
          <w:sz w:val="24"/>
        </w:rPr>
      </w:pPr>
      <w:r>
        <w:rPr>
          <w:rFonts w:hint="eastAsia"/>
          <w:sz w:val="24"/>
        </w:rPr>
        <w:t xml:space="preserve">7.2.1  </w:t>
      </w:r>
      <w:r>
        <w:rPr>
          <w:rFonts w:hint="eastAsia" w:hAnsi="宋体"/>
          <w:sz w:val="24"/>
        </w:rPr>
        <w:t>幅值示值误差</w:t>
      </w:r>
    </w:p>
    <w:p>
      <w:pPr>
        <w:adjustRightInd w:val="0"/>
        <w:snapToGrid w:val="0"/>
        <w:spacing w:line="300" w:lineRule="auto"/>
        <w:ind w:firstLine="480" w:firstLineChars="200"/>
        <w:rPr>
          <w:rFonts w:cs="宋体"/>
          <w:sz w:val="24"/>
        </w:rPr>
      </w:pPr>
      <w:r>
        <w:rPr>
          <w:rFonts w:hint="eastAsia" w:hAnsi="宋体"/>
          <w:sz w:val="24"/>
        </w:rPr>
        <w:t>幅值示值</w:t>
      </w:r>
      <w:r>
        <w:rPr>
          <w:rFonts w:hint="eastAsia" w:hAnsi="宋体" w:cs="宋体"/>
          <w:sz w:val="24"/>
        </w:rPr>
        <w:t>校准原理如图</w:t>
      </w:r>
      <w:r>
        <w:rPr>
          <w:rFonts w:hint="eastAsia" w:cs="宋体"/>
          <w:sz w:val="24"/>
        </w:rPr>
        <w:t>1</w:t>
      </w:r>
      <w:r>
        <w:rPr>
          <w:rFonts w:hint="eastAsia" w:hAnsi="宋体" w:cs="宋体"/>
          <w:sz w:val="24"/>
        </w:rPr>
        <w:t>所示，可以用比较法振动标准装置或者绝对法振动标准装置。将被校</w:t>
      </w:r>
      <w:r>
        <w:rPr>
          <w:rFonts w:hint="eastAsia" w:hAnsi="宋体"/>
          <w:sz w:val="24"/>
        </w:rPr>
        <w:t>测试仪</w:t>
      </w:r>
      <w:r>
        <w:rPr>
          <w:rFonts w:hint="eastAsia" w:hAnsi="宋体" w:cs="宋体"/>
          <w:sz w:val="24"/>
        </w:rPr>
        <w:t>或</w:t>
      </w:r>
      <w:r>
        <w:rPr>
          <w:rFonts w:hint="eastAsia" w:hAnsi="宋体"/>
          <w:sz w:val="24"/>
        </w:rPr>
        <w:t>测试仪</w:t>
      </w:r>
      <w:r>
        <w:rPr>
          <w:rFonts w:hint="eastAsia" w:hAnsi="宋体" w:cs="宋体"/>
          <w:sz w:val="24"/>
        </w:rPr>
        <w:t>的传感器</w:t>
      </w:r>
      <w:r>
        <w:rPr>
          <w:rFonts w:hint="eastAsia"/>
          <w:sz w:val="24"/>
        </w:rPr>
        <w:t>重心尽量对准振动台台面中心，对有平衡位置指示器和水平仪的传感器，应按要求进行各部位的调节，调节完毕后须将可调部位锁紧，在校准过程中还应注意监视传感</w:t>
      </w:r>
      <w:r>
        <w:rPr>
          <w:rFonts w:hint="eastAsia" w:hAnsi="宋体" w:cs="宋体"/>
          <w:sz w:val="24"/>
        </w:rPr>
        <w:t>器与台面的接触状况。</w:t>
      </w:r>
    </w:p>
    <w:p>
      <w:pPr>
        <w:adjustRightInd w:val="0"/>
        <w:snapToGrid w:val="0"/>
        <w:spacing w:line="300" w:lineRule="auto"/>
        <w:ind w:firstLine="480" w:firstLineChars="200"/>
        <w:rPr>
          <w:rFonts w:cs="宋体"/>
          <w:sz w:val="24"/>
        </w:rPr>
      </w:pPr>
      <w:r>
        <w:rPr>
          <w:rFonts w:hint="eastAsia"/>
          <w:sz w:val="24"/>
        </w:rPr>
        <w:t>按照</w:t>
      </w:r>
      <w:r>
        <w:rPr>
          <w:rFonts w:hint="eastAsia" w:hAnsi="宋体"/>
          <w:sz w:val="24"/>
        </w:rPr>
        <w:t>测试仪</w:t>
      </w:r>
      <w:r>
        <w:rPr>
          <w:rFonts w:hint="eastAsia"/>
          <w:sz w:val="24"/>
        </w:rPr>
        <w:t>给出的频率范围，在其频率范围内均匀选取不少于5个频率点（包括最低和最高频率点）进行幅值示值误差的校准。由振动标准装置给出在某一频率下的振动幅值</w:t>
      </w:r>
      <w:r>
        <w:rPr>
          <w:position w:val="-6"/>
        </w:rPr>
        <w:object>
          <v:shape id="_x0000_i1029" o:spt="75" type="#_x0000_t75" style="height:11.25pt;width:12.75pt;" o:ole="t" filled="f" o:preferrelative="t" stroked="f" coordsize="21600,21600">
            <v:path/>
            <v:fill on="f" focussize="0,0"/>
            <v:stroke on="f" joinstyle="miter"/>
            <v:imagedata r:id="rId18" o:title=""/>
            <o:lock v:ext="edit" aspectratio="t"/>
            <w10:wrap type="none"/>
            <w10:anchorlock/>
          </v:shape>
          <o:OLEObject Type="Embed" ProgID="Equation.DSMT4" ShapeID="_x0000_i1029" DrawAspect="Content" ObjectID="_1468075729" r:id="rId17">
            <o:LockedField>false</o:LockedField>
          </o:OLEObject>
        </w:object>
      </w:r>
      <w:r>
        <w:rPr>
          <w:rFonts w:hint="eastAsia"/>
          <w:sz w:val="24"/>
        </w:rPr>
        <w:t>，读取</w:t>
      </w:r>
      <w:r>
        <w:rPr>
          <w:rFonts w:hint="eastAsia" w:hAnsi="宋体"/>
          <w:sz w:val="24"/>
        </w:rPr>
        <w:t>测试仪</w:t>
      </w:r>
      <w:r>
        <w:rPr>
          <w:rFonts w:hint="eastAsia"/>
          <w:sz w:val="24"/>
        </w:rPr>
        <w:t>的显示值</w:t>
      </w:r>
      <w:r>
        <w:rPr>
          <w:position w:val="-12"/>
        </w:rPr>
        <w:object>
          <v:shape id="_x0000_i1030" o:spt="75" type="#_x0000_t75" style="height:18pt;width:12pt;" o:ole="t" filled="f" o:preferrelative="t" stroked="f" coordsize="21600,21600">
            <v:path/>
            <v:fill on="f" focussize="0,0"/>
            <v:stroke on="f" joinstyle="miter"/>
            <v:imagedata r:id="rId20" o:title=""/>
            <o:lock v:ext="edit" aspectratio="t"/>
            <w10:wrap type="none"/>
            <w10:anchorlock/>
          </v:shape>
          <o:OLEObject Type="Embed" ProgID="Equation.DSMT4" ShapeID="_x0000_i1030" DrawAspect="Content" ObjectID="_1468075730" r:id="rId19">
            <o:LockedField>false</o:LockedField>
          </o:OLEObject>
        </w:object>
      </w:r>
      <w:r>
        <w:rPr>
          <w:rFonts w:hint="eastAsia"/>
          <w:sz w:val="24"/>
        </w:rPr>
        <w:t>；改变振动标准装置给出的频率，记录不同频率点下</w:t>
      </w:r>
      <w:r>
        <w:rPr>
          <w:rFonts w:hint="eastAsia" w:hAnsi="宋体"/>
          <w:sz w:val="24"/>
        </w:rPr>
        <w:t>测试仪</w:t>
      </w:r>
      <w:r>
        <w:rPr>
          <w:rFonts w:hint="eastAsia"/>
          <w:sz w:val="24"/>
        </w:rPr>
        <w:t>的幅值测量结果，按公式</w:t>
      </w:r>
      <w:r>
        <w:rPr>
          <w:sz w:val="24"/>
        </w:rPr>
        <w:t>（1）</w:t>
      </w:r>
      <w:r>
        <w:rPr>
          <w:rFonts w:hint="eastAsia"/>
          <w:sz w:val="24"/>
        </w:rPr>
        <w:t>计算其幅值示值相对误差。</w:t>
      </w:r>
    </w:p>
    <w:p>
      <w:pPr>
        <w:tabs>
          <w:tab w:val="center" w:pos="4130"/>
          <w:tab w:val="right" w:pos="8301"/>
        </w:tabs>
        <w:spacing w:line="300" w:lineRule="auto"/>
        <w:ind w:left="21"/>
        <w:jc w:val="center"/>
        <w:rPr>
          <w:sz w:val="24"/>
        </w:rPr>
      </w:pPr>
      <w:r>
        <w:rPr>
          <w:rFonts w:hint="eastAsia"/>
          <w:position w:val="-30"/>
          <w:sz w:val="24"/>
        </w:rPr>
        <w:tab/>
      </w:r>
      <w:r>
        <w:rPr>
          <w:position w:val="-30"/>
          <w:sz w:val="24"/>
        </w:rPr>
        <w:object>
          <v:shape id="_x0000_i1031" o:spt="75" type="#_x0000_t75" style="height:33.75pt;width:99pt;" o:ole="t" filled="f" o:preferrelative="t" stroked="f" coordsize="21600,21600">
            <v:path/>
            <v:fill on="f" focussize="0,0"/>
            <v:stroke on="f" joinstyle="miter"/>
            <v:imagedata r:id="rId22" o:title=""/>
            <o:lock v:ext="edit" aspectratio="t"/>
            <w10:wrap type="none"/>
            <w10:anchorlock/>
          </v:shape>
          <o:OLEObject Type="Embed" ProgID="Equation.DSMT4" ShapeID="_x0000_i1031" DrawAspect="Content" ObjectID="_1468075731" r:id="rId21">
            <o:LockedField>false</o:LockedField>
          </o:OLEObject>
        </w:object>
      </w:r>
      <w:r>
        <w:rPr>
          <w:rFonts w:hint="eastAsia"/>
          <w:position w:val="-30"/>
          <w:sz w:val="24"/>
        </w:rPr>
        <w:tab/>
      </w:r>
      <w:r>
        <w:rPr>
          <w:sz w:val="24"/>
        </w:rPr>
        <w:t>（1）</w:t>
      </w:r>
    </w:p>
    <w:p>
      <w:pPr>
        <w:spacing w:line="300" w:lineRule="auto"/>
        <w:ind w:firstLine="480" w:firstLineChars="200"/>
        <w:rPr>
          <w:sz w:val="24"/>
        </w:rPr>
      </w:pPr>
      <w:r>
        <w:rPr>
          <w:rFonts w:hint="eastAsia"/>
          <w:sz w:val="24"/>
        </w:rPr>
        <w:t>式中：</w:t>
      </w:r>
    </w:p>
    <w:p>
      <w:pPr>
        <w:spacing w:line="300" w:lineRule="auto"/>
        <w:ind w:firstLine="420" w:firstLineChars="200"/>
        <w:rPr>
          <w:sz w:val="24"/>
        </w:rPr>
      </w:pPr>
      <w:r>
        <w:rPr>
          <w:position w:val="-6"/>
        </w:rPr>
        <w:object>
          <v:shape id="_x0000_i1032" o:spt="75" type="#_x0000_t75" style="height:14.25pt;width:15pt;" o:ole="t" filled="f" o:preferrelative="t" stroked="f" coordsize="21600,21600">
            <v:path/>
            <v:fill on="f" focussize="0,0"/>
            <v:stroke on="f" joinstyle="miter"/>
            <v:imagedata r:id="rId24" o:title=""/>
            <o:lock v:ext="edit" aspectratio="t"/>
            <w10:wrap type="none"/>
            <w10:anchorlock/>
          </v:shape>
          <o:OLEObject Type="Embed" ProgID="Equation.DSMT4" ShapeID="_x0000_i1032" DrawAspect="Content" ObjectID="_1468075732" r:id="rId23">
            <o:LockedField>false</o:LockedField>
          </o:OLEObject>
        </w:object>
      </w:r>
      <w:r>
        <w:rPr>
          <w:rFonts w:hint="eastAsia"/>
          <w:sz w:val="24"/>
        </w:rPr>
        <w:t>——幅值示值误差，%；</w:t>
      </w:r>
    </w:p>
    <w:p>
      <w:pPr>
        <w:spacing w:line="300" w:lineRule="auto"/>
        <w:ind w:firstLine="462" w:firstLineChars="220"/>
        <w:rPr>
          <w:sz w:val="24"/>
        </w:rPr>
      </w:pPr>
      <w:r>
        <w:rPr>
          <w:position w:val="-12"/>
        </w:rPr>
        <w:object>
          <v:shape id="_x0000_i1033" o:spt="75" type="#_x0000_t75" style="height:18pt;width:12pt;" o:ole="t" filled="f" o:preferrelative="t" stroked="f" coordsize="21600,21600">
            <v:path/>
            <v:fill on="f" focussize="0,0"/>
            <v:stroke on="f" joinstyle="miter"/>
            <v:imagedata r:id="rId20" o:title=""/>
            <o:lock v:ext="edit" aspectratio="t"/>
            <w10:wrap type="none"/>
            <w10:anchorlock/>
          </v:shape>
          <o:OLEObject Type="Embed" ProgID="Equation.DSMT4" ShapeID="_x0000_i1033" DrawAspect="Content" ObjectID="_1468075733" r:id="rId25">
            <o:LockedField>false</o:LockedField>
          </o:OLEObject>
        </w:object>
      </w:r>
      <w:r>
        <w:rPr>
          <w:rFonts w:hint="eastAsia"/>
          <w:sz w:val="24"/>
        </w:rPr>
        <w:t>——</w:t>
      </w:r>
      <w:r>
        <w:rPr>
          <w:rFonts w:hint="eastAsia" w:hAnsi="宋体"/>
          <w:sz w:val="24"/>
        </w:rPr>
        <w:t>测试仪</w:t>
      </w:r>
      <w:r>
        <w:rPr>
          <w:rFonts w:hint="eastAsia"/>
          <w:sz w:val="24"/>
        </w:rPr>
        <w:t>幅值示值，m/s</w:t>
      </w:r>
      <w:r>
        <w:rPr>
          <w:rFonts w:hint="eastAsia"/>
          <w:sz w:val="24"/>
          <w:vertAlign w:val="superscript"/>
        </w:rPr>
        <w:t>2</w:t>
      </w:r>
      <w:r>
        <w:rPr>
          <w:rFonts w:hint="eastAsia"/>
          <w:sz w:val="24"/>
        </w:rPr>
        <w:t>、mm/s；</w:t>
      </w:r>
    </w:p>
    <w:p>
      <w:pPr>
        <w:spacing w:line="300" w:lineRule="auto"/>
        <w:ind w:firstLine="462" w:firstLineChars="220"/>
        <w:rPr>
          <w:sz w:val="24"/>
        </w:rPr>
      </w:pPr>
      <w:r>
        <w:rPr>
          <w:position w:val="-6"/>
        </w:rPr>
        <w:object>
          <v:shape id="_x0000_i1034" o:spt="75" type="#_x0000_t75" style="height:11.25pt;width:12.75pt;" o:ole="t" filled="f" o:preferrelative="t" stroked="f" coordsize="21600,21600">
            <v:path/>
            <v:fill on="f" focussize="0,0"/>
            <v:stroke on="f" joinstyle="miter"/>
            <v:imagedata r:id="rId18" o:title=""/>
            <o:lock v:ext="edit" aspectratio="t"/>
            <w10:wrap type="none"/>
            <w10:anchorlock/>
          </v:shape>
          <o:OLEObject Type="Embed" ProgID="Equation.DSMT4" ShapeID="_x0000_i1034" DrawAspect="Content" ObjectID="_1468075734" r:id="rId26">
            <o:LockedField>false</o:LockedField>
          </o:OLEObject>
        </w:object>
      </w:r>
      <w:r>
        <w:rPr>
          <w:rFonts w:hint="eastAsia"/>
          <w:sz w:val="24"/>
        </w:rPr>
        <w:t>——振动标准装置的标准幅值，m/s</w:t>
      </w:r>
      <w:r>
        <w:rPr>
          <w:rFonts w:hint="eastAsia"/>
          <w:sz w:val="24"/>
          <w:vertAlign w:val="superscript"/>
        </w:rPr>
        <w:t>2</w:t>
      </w:r>
      <w:r>
        <w:rPr>
          <w:rFonts w:hint="eastAsia"/>
          <w:sz w:val="24"/>
        </w:rPr>
        <w:t>、mm/s。</w:t>
      </w:r>
    </w:p>
    <w:p>
      <w:pPr>
        <w:spacing w:line="300" w:lineRule="auto"/>
        <w:ind w:firstLine="480" w:firstLineChars="200"/>
        <w:rPr>
          <w:sz w:val="24"/>
        </w:rPr>
      </w:pPr>
      <w:r>
        <w:rPr>
          <w:rFonts w:hint="eastAsia" w:hAnsi="宋体"/>
          <w:sz w:val="24"/>
        </w:rPr>
        <w:t>测试仪</w:t>
      </w:r>
      <w:r>
        <w:rPr>
          <w:rFonts w:hint="eastAsia"/>
          <w:sz w:val="24"/>
        </w:rPr>
        <w:t>有X轴、Y轴、Z轴加速度、速度测量功能的，应对每种参数分别进行</w:t>
      </w:r>
      <w:r>
        <w:rPr>
          <w:rFonts w:hint="eastAsia" w:hAnsi="宋体"/>
          <w:sz w:val="24"/>
        </w:rPr>
        <w:t>幅值示值</w:t>
      </w:r>
      <w:r>
        <w:rPr>
          <w:rFonts w:hint="eastAsia"/>
          <w:sz w:val="24"/>
        </w:rPr>
        <w:t>的校准。</w:t>
      </w:r>
    </w:p>
    <w:p>
      <w:pPr>
        <w:spacing w:line="360" w:lineRule="auto"/>
        <w:jc w:val="center"/>
        <w:rPr>
          <w:szCs w:val="21"/>
        </w:rPr>
      </w:pPr>
      <w:r>
        <w:rPr>
          <w:szCs w:val="21"/>
        </w:rPr>
        <w:drawing>
          <wp:inline distT="0" distB="0" distL="0" distR="0">
            <wp:extent cx="3914775" cy="2669540"/>
            <wp:effectExtent l="19050" t="0" r="9525" b="0"/>
            <wp:docPr id="38" name="图片 38" descr="C:\Users\HP\AppData\Local\Temp\WeChat Files\3dd901724918c4a0e713cce7a6480fa.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C:\Users\HP\AppData\Local\Temp\WeChat Files\3dd901724918c4a0e713cce7a6480fa.bmp"/>
                    <pic:cNvPicPr>
                      <a:picLocks noChangeAspect="1" noChangeArrowheads="1"/>
                    </pic:cNvPicPr>
                  </pic:nvPicPr>
                  <pic:blipFill>
                    <a:blip r:embed="rId27"/>
                    <a:srcRect/>
                    <a:stretch>
                      <a:fillRect/>
                    </a:stretch>
                  </pic:blipFill>
                  <pic:spPr>
                    <a:xfrm>
                      <a:off x="0" y="0"/>
                      <a:ext cx="3917327" cy="2671510"/>
                    </a:xfrm>
                    <a:prstGeom prst="rect">
                      <a:avLst/>
                    </a:prstGeom>
                    <a:noFill/>
                    <a:ln w="9525">
                      <a:noFill/>
                      <a:miter lim="800000"/>
                      <a:headEnd/>
                      <a:tailEnd/>
                    </a:ln>
                  </pic:spPr>
                </pic:pic>
              </a:graphicData>
            </a:graphic>
          </wp:inline>
        </w:drawing>
      </w:r>
    </w:p>
    <w:p>
      <w:pPr>
        <w:spacing w:line="360" w:lineRule="auto"/>
        <w:jc w:val="center"/>
        <w:rPr>
          <w:sz w:val="24"/>
        </w:rPr>
      </w:pPr>
      <w:r>
        <w:rPr>
          <w:rFonts w:hint="eastAsia" w:hAnsi="宋体"/>
          <w:szCs w:val="21"/>
        </w:rPr>
        <w:t>图</w:t>
      </w:r>
      <w:r>
        <w:rPr>
          <w:rFonts w:hint="eastAsia"/>
          <w:szCs w:val="21"/>
        </w:rPr>
        <w:t>1</w:t>
      </w:r>
      <w:r>
        <w:rPr>
          <w:rFonts w:hint="eastAsia" w:hAnsi="宋体"/>
          <w:szCs w:val="21"/>
        </w:rPr>
        <w:t>测试仪校准示意图</w:t>
      </w:r>
    </w:p>
    <w:p>
      <w:pPr>
        <w:spacing w:line="360" w:lineRule="auto"/>
        <w:rPr>
          <w:sz w:val="24"/>
        </w:rPr>
      </w:pPr>
      <w:r>
        <w:rPr>
          <w:rFonts w:hint="eastAsia"/>
          <w:sz w:val="24"/>
        </w:rPr>
        <w:t xml:space="preserve">7.2.2  </w:t>
      </w:r>
      <w:r>
        <w:rPr>
          <w:rFonts w:hint="eastAsia" w:hAnsi="宋体"/>
          <w:sz w:val="24"/>
        </w:rPr>
        <w:t>幅值线性度</w:t>
      </w:r>
    </w:p>
    <w:p>
      <w:pPr>
        <w:spacing w:line="300" w:lineRule="auto"/>
        <w:ind w:firstLine="480" w:firstLineChars="200"/>
        <w:rPr>
          <w:sz w:val="24"/>
        </w:rPr>
      </w:pPr>
      <w:r>
        <w:rPr>
          <w:rFonts w:hint="eastAsia"/>
          <w:sz w:val="24"/>
        </w:rPr>
        <w:t>选取8.0赫兹为参考频率点，在此频率下，由振动标准装置给出不少于5个均匀分布的振动加速度幅值（应包含0.1 m/s</w:t>
      </w:r>
      <w:r>
        <w:rPr>
          <w:rFonts w:hint="eastAsia"/>
          <w:sz w:val="24"/>
          <w:vertAlign w:val="superscript"/>
        </w:rPr>
        <w:t>2</w:t>
      </w:r>
      <w:r>
        <w:rPr>
          <w:rFonts w:hint="eastAsia"/>
          <w:sz w:val="24"/>
        </w:rPr>
        <w:t>和2.0 m/s</w:t>
      </w:r>
      <w:r>
        <w:rPr>
          <w:rFonts w:hint="eastAsia"/>
          <w:sz w:val="24"/>
          <w:vertAlign w:val="superscript"/>
        </w:rPr>
        <w:t>2</w:t>
      </w:r>
      <w:r>
        <w:rPr>
          <w:rFonts w:hint="eastAsia"/>
          <w:sz w:val="24"/>
        </w:rPr>
        <w:t>），记录被校测试仪在不同加速度幅值下的测量结果，按公式</w:t>
      </w:r>
      <w:r>
        <w:rPr>
          <w:sz w:val="24"/>
        </w:rPr>
        <w:t>（1）</w:t>
      </w:r>
      <w:r>
        <w:rPr>
          <w:rFonts w:hint="eastAsia"/>
          <w:sz w:val="24"/>
        </w:rPr>
        <w:t>计算每点的相对误差。其相对误差最大的结果作为幅值线性度。</w:t>
      </w:r>
    </w:p>
    <w:p>
      <w:pPr>
        <w:spacing w:line="360" w:lineRule="auto"/>
        <w:rPr>
          <w:sz w:val="24"/>
        </w:rPr>
      </w:pPr>
      <w:r>
        <w:rPr>
          <w:rFonts w:hint="eastAsia"/>
          <w:sz w:val="24"/>
        </w:rPr>
        <w:t xml:space="preserve">7.2.3  </w:t>
      </w:r>
      <w:r>
        <w:rPr>
          <w:rFonts w:hint="eastAsia" w:hAnsi="宋体"/>
          <w:sz w:val="24"/>
        </w:rPr>
        <w:t>加速度分辨力</w:t>
      </w:r>
    </w:p>
    <w:p>
      <w:pPr>
        <w:spacing w:line="360" w:lineRule="auto"/>
        <w:ind w:firstLine="480" w:firstLineChars="200"/>
        <w:rPr>
          <w:sz w:val="24"/>
        </w:rPr>
      </w:pPr>
      <w:r>
        <w:rPr>
          <w:rFonts w:hint="eastAsia" w:hAnsi="宋体"/>
          <w:sz w:val="24"/>
        </w:rPr>
        <w:t>按</w:t>
      </w:r>
      <w:r>
        <w:rPr>
          <w:rFonts w:hint="eastAsia"/>
          <w:sz w:val="24"/>
        </w:rPr>
        <w:t>7.2.1</w:t>
      </w:r>
      <w:r>
        <w:rPr>
          <w:rFonts w:hint="eastAsia" w:hAnsi="宋体"/>
          <w:sz w:val="24"/>
        </w:rPr>
        <w:t>的要求正确连接仪器。振动标准装置的振动频率调至</w:t>
      </w:r>
      <w:r>
        <w:rPr>
          <w:rFonts w:hint="eastAsia"/>
          <w:sz w:val="24"/>
        </w:rPr>
        <w:t>8Hz，</w:t>
      </w:r>
      <w:r>
        <w:rPr>
          <w:rFonts w:hint="eastAsia" w:hAnsi="宋体"/>
          <w:sz w:val="24"/>
        </w:rPr>
        <w:t>幅值调至</w:t>
      </w:r>
      <w:r>
        <w:rPr>
          <w:rFonts w:hint="eastAsia"/>
          <w:sz w:val="24"/>
        </w:rPr>
        <w:t>1.0 m/s</w:t>
      </w:r>
      <w:r>
        <w:rPr>
          <w:rFonts w:hint="eastAsia"/>
          <w:sz w:val="24"/>
          <w:vertAlign w:val="superscript"/>
        </w:rPr>
        <w:t>2</w:t>
      </w:r>
      <w:r>
        <w:rPr>
          <w:rFonts w:hint="eastAsia"/>
          <w:sz w:val="24"/>
        </w:rPr>
        <w:t>，</w:t>
      </w:r>
      <w:r>
        <w:rPr>
          <w:rFonts w:hint="eastAsia" w:hAnsi="宋体"/>
          <w:sz w:val="24"/>
        </w:rPr>
        <w:t>逐步增大或减小振动幅值，观察测试仪的幅值应有变化，其显示的最小单位为测量分辨力。</w:t>
      </w:r>
    </w:p>
    <w:p>
      <w:pPr>
        <w:spacing w:line="360" w:lineRule="auto"/>
        <w:rPr>
          <w:sz w:val="24"/>
        </w:rPr>
      </w:pPr>
      <w:r>
        <w:rPr>
          <w:rFonts w:hint="eastAsia"/>
          <w:sz w:val="24"/>
        </w:rPr>
        <w:t xml:space="preserve">7.2.4  </w:t>
      </w:r>
      <w:r>
        <w:rPr>
          <w:rFonts w:hint="eastAsia" w:hAnsi="宋体"/>
          <w:sz w:val="24"/>
        </w:rPr>
        <w:t>时间示值相对误差</w:t>
      </w:r>
    </w:p>
    <w:p>
      <w:pPr>
        <w:adjustRightInd w:val="0"/>
        <w:snapToGrid w:val="0"/>
        <w:spacing w:line="300" w:lineRule="auto"/>
        <w:ind w:firstLine="480" w:firstLineChars="200"/>
        <w:rPr>
          <w:sz w:val="24"/>
          <w:szCs w:val="21"/>
        </w:rPr>
      </w:pPr>
      <w:r>
        <w:rPr>
          <w:rFonts w:hint="eastAsia" w:hAnsi="宋体"/>
          <w:sz w:val="24"/>
          <w:szCs w:val="21"/>
        </w:rPr>
        <w:t>本项校准和</w:t>
      </w:r>
      <w:r>
        <w:rPr>
          <w:rFonts w:hint="eastAsia"/>
          <w:sz w:val="24"/>
          <w:szCs w:val="21"/>
        </w:rPr>
        <w:t>7.2.1</w:t>
      </w:r>
      <w:r>
        <w:rPr>
          <w:rFonts w:hint="eastAsia" w:hAnsi="宋体"/>
          <w:sz w:val="24"/>
          <w:szCs w:val="21"/>
        </w:rPr>
        <w:t>条同时进行。当振动频率为</w:t>
      </w:r>
      <w:r>
        <w:rPr>
          <w:rFonts w:hint="eastAsia"/>
          <w:i/>
          <w:iCs/>
          <w:sz w:val="24"/>
          <w:szCs w:val="21"/>
        </w:rPr>
        <w:t>f</w:t>
      </w:r>
      <w:r>
        <w:rPr>
          <w:rFonts w:hint="eastAsia"/>
          <w:sz w:val="24"/>
          <w:szCs w:val="21"/>
          <w:vertAlign w:val="subscript"/>
        </w:rPr>
        <w:t>i</w:t>
      </w:r>
      <w:r>
        <w:rPr>
          <w:rFonts w:hint="eastAsia" w:hAnsi="宋体"/>
          <w:sz w:val="24"/>
          <w:szCs w:val="21"/>
        </w:rPr>
        <w:t>时，选取合适的采样频率读取测试仪显示时间域波形的</w:t>
      </w:r>
      <w:r>
        <w:rPr>
          <w:rFonts w:hint="eastAsia"/>
          <w:sz w:val="24"/>
          <w:szCs w:val="21"/>
        </w:rPr>
        <w:t>5</w:t>
      </w:r>
      <w:r>
        <w:rPr>
          <w:rFonts w:hint="eastAsia" w:hAnsi="宋体"/>
          <w:sz w:val="24"/>
          <w:szCs w:val="21"/>
        </w:rPr>
        <w:t>个振动周期</w:t>
      </w:r>
      <w:r>
        <w:rPr>
          <w:rFonts w:hint="eastAsia"/>
          <w:sz w:val="24"/>
          <w:szCs w:val="21"/>
        </w:rPr>
        <w:t>T</w:t>
      </w:r>
      <w:r>
        <w:rPr>
          <w:rFonts w:hint="eastAsia"/>
          <w:sz w:val="24"/>
          <w:szCs w:val="21"/>
          <w:vertAlign w:val="subscript"/>
        </w:rPr>
        <w:t>5</w:t>
      </w:r>
      <w:r>
        <w:rPr>
          <w:rFonts w:hint="eastAsia" w:hAnsi="宋体"/>
          <w:sz w:val="24"/>
          <w:szCs w:val="21"/>
        </w:rPr>
        <w:t>（</w:t>
      </w:r>
      <w:r>
        <w:rPr>
          <w:rFonts w:hint="eastAsia"/>
          <w:sz w:val="24"/>
          <w:szCs w:val="21"/>
        </w:rPr>
        <w:t>s</w:t>
      </w:r>
      <w:r>
        <w:rPr>
          <w:rFonts w:hint="eastAsia" w:hAnsi="宋体"/>
          <w:sz w:val="24"/>
          <w:szCs w:val="21"/>
        </w:rPr>
        <w:t>）。按式（</w:t>
      </w:r>
      <w:r>
        <w:rPr>
          <w:rFonts w:hint="eastAsia"/>
          <w:sz w:val="24"/>
          <w:szCs w:val="21"/>
        </w:rPr>
        <w:t>2</w:t>
      </w:r>
      <w:r>
        <w:rPr>
          <w:rFonts w:hint="eastAsia" w:hAnsi="宋体"/>
          <w:sz w:val="24"/>
          <w:szCs w:val="21"/>
        </w:rPr>
        <w:t>）计算测试仪的时间示值误差。</w:t>
      </w:r>
    </w:p>
    <w:p>
      <w:pPr>
        <w:tabs>
          <w:tab w:val="center" w:pos="4130"/>
          <w:tab w:val="right" w:pos="8287"/>
        </w:tabs>
        <w:adjustRightInd w:val="0"/>
        <w:snapToGrid w:val="0"/>
        <w:spacing w:line="300" w:lineRule="auto"/>
        <w:ind w:firstLine="480" w:firstLineChars="200"/>
        <w:jc w:val="center"/>
        <w:rPr>
          <w:rFonts w:hAnsi="宋体"/>
          <w:sz w:val="24"/>
          <w:szCs w:val="21"/>
        </w:rPr>
      </w:pPr>
      <w:r>
        <w:rPr>
          <w:rFonts w:hint="eastAsia"/>
          <w:position w:val="-30"/>
          <w:sz w:val="24"/>
          <w:szCs w:val="21"/>
        </w:rPr>
        <w:tab/>
      </w:r>
      <w:r>
        <w:rPr>
          <w:position w:val="-30"/>
          <w:sz w:val="24"/>
          <w:szCs w:val="21"/>
        </w:rPr>
        <w:object>
          <v:shape id="_x0000_i1035" o:spt="75" type="#_x0000_t75" style="height:33.75pt;width:120pt;" o:ole="t" filled="f" o:preferrelative="t" stroked="f" coordsize="21600,21600">
            <v:path/>
            <v:fill on="f" focussize="0,0"/>
            <v:stroke on="f" joinstyle="miter"/>
            <v:imagedata r:id="rId29" o:title=""/>
            <o:lock v:ext="edit" aspectratio="t"/>
            <w10:wrap type="none"/>
            <w10:anchorlock/>
          </v:shape>
          <o:OLEObject Type="Embed" ProgID="Equation.DSMT4" ShapeID="_x0000_i1035" DrawAspect="Content" ObjectID="_1468075735" r:id="rId28">
            <o:LockedField>false</o:LockedField>
          </o:OLEObject>
        </w:object>
      </w:r>
      <w:r>
        <w:rPr>
          <w:rFonts w:hint="eastAsia"/>
          <w:position w:val="-30"/>
          <w:sz w:val="24"/>
          <w:szCs w:val="21"/>
        </w:rPr>
        <w:tab/>
      </w:r>
      <w:r>
        <w:rPr>
          <w:rFonts w:hint="eastAsia" w:hAnsi="宋体"/>
          <w:sz w:val="24"/>
          <w:szCs w:val="21"/>
        </w:rPr>
        <w:t>（</w:t>
      </w:r>
      <w:r>
        <w:rPr>
          <w:rFonts w:hint="eastAsia"/>
          <w:sz w:val="24"/>
          <w:szCs w:val="21"/>
        </w:rPr>
        <w:t>2</w:t>
      </w:r>
      <w:r>
        <w:rPr>
          <w:rFonts w:hint="eastAsia" w:hAnsi="宋体"/>
          <w:sz w:val="24"/>
          <w:szCs w:val="21"/>
        </w:rPr>
        <w:t>）</w:t>
      </w:r>
    </w:p>
    <w:p>
      <w:pPr>
        <w:adjustRightInd w:val="0"/>
        <w:snapToGrid w:val="0"/>
        <w:spacing w:line="300" w:lineRule="auto"/>
        <w:ind w:firstLine="480" w:firstLineChars="200"/>
        <w:rPr>
          <w:sz w:val="24"/>
          <w:szCs w:val="21"/>
        </w:rPr>
      </w:pPr>
      <w:r>
        <w:rPr>
          <w:rFonts w:hint="eastAsia" w:hAnsi="宋体"/>
          <w:sz w:val="24"/>
          <w:szCs w:val="21"/>
        </w:rPr>
        <w:t>式中：</w:t>
      </w:r>
      <w:r>
        <w:rPr>
          <w:position w:val="-12"/>
          <w:sz w:val="24"/>
          <w:szCs w:val="21"/>
        </w:rPr>
        <w:object>
          <v:shape id="_x0000_i1036" o:spt="75" type="#_x0000_t75" style="height:18pt;width:14.25pt;" o:ole="t" filled="f" o:preferrelative="t" stroked="f" coordsize="21600,21600">
            <v:path/>
            <v:fill on="f" focussize="0,0"/>
            <v:stroke on="f" joinstyle="miter"/>
            <v:imagedata r:id="rId31" o:title=""/>
            <o:lock v:ext="edit" aspectratio="t"/>
            <w10:wrap type="none"/>
            <w10:anchorlock/>
          </v:shape>
          <o:OLEObject Type="Embed" ProgID="Equation.DSMT4" ShapeID="_x0000_i1036" DrawAspect="Content" ObjectID="_1468075736" r:id="rId30">
            <o:LockedField>false</o:LockedField>
          </o:OLEObject>
        </w:object>
      </w:r>
      <w:r>
        <w:rPr>
          <w:rFonts w:hint="eastAsia"/>
          <w:sz w:val="24"/>
          <w:szCs w:val="21"/>
        </w:rPr>
        <w:t>——</w:t>
      </w:r>
      <w:r>
        <w:rPr>
          <w:rFonts w:hint="eastAsia" w:hAnsi="宋体"/>
          <w:sz w:val="24"/>
          <w:szCs w:val="21"/>
        </w:rPr>
        <w:t>第</w:t>
      </w:r>
      <w:r>
        <w:rPr>
          <w:rFonts w:hint="eastAsia"/>
          <w:sz w:val="24"/>
          <w:szCs w:val="21"/>
        </w:rPr>
        <w:t>i</w:t>
      </w:r>
      <w:r>
        <w:rPr>
          <w:rFonts w:hint="eastAsia" w:hAnsi="宋体"/>
          <w:sz w:val="24"/>
          <w:szCs w:val="21"/>
        </w:rPr>
        <w:t>个频率点测试仪时间示值误差，</w:t>
      </w:r>
      <w:r>
        <w:rPr>
          <w:rFonts w:hint="eastAsia"/>
          <w:sz w:val="24"/>
          <w:szCs w:val="21"/>
        </w:rPr>
        <w:t>%</w:t>
      </w:r>
      <w:r>
        <w:rPr>
          <w:rFonts w:hint="eastAsia" w:hAnsi="宋体"/>
          <w:sz w:val="24"/>
          <w:szCs w:val="21"/>
        </w:rPr>
        <w:t>。</w:t>
      </w:r>
    </w:p>
    <w:p>
      <w:pPr>
        <w:adjustRightInd w:val="0"/>
        <w:snapToGrid w:val="0"/>
        <w:spacing w:line="300" w:lineRule="auto"/>
        <w:rPr>
          <w:sz w:val="24"/>
          <w:highlight w:val="yellow"/>
        </w:rPr>
      </w:pPr>
      <w:r>
        <w:rPr>
          <w:rFonts w:hint="eastAsia"/>
          <w:sz w:val="24"/>
        </w:rPr>
        <w:t>7.</w:t>
      </w:r>
      <w:r>
        <w:rPr>
          <w:sz w:val="24"/>
        </w:rPr>
        <w:t>2</w:t>
      </w:r>
      <w:r>
        <w:rPr>
          <w:rFonts w:hint="eastAsia"/>
          <w:sz w:val="24"/>
        </w:rPr>
        <w:t>.5</w:t>
      </w:r>
      <w:r>
        <w:rPr>
          <w:rFonts w:hint="eastAsia" w:hAnsi="宋体"/>
          <w:sz w:val="24"/>
        </w:rPr>
        <w:t>声压级示值误差</w:t>
      </w:r>
    </w:p>
    <w:p>
      <w:pPr>
        <w:adjustRightInd w:val="0"/>
        <w:snapToGrid w:val="0"/>
        <w:spacing w:line="360" w:lineRule="auto"/>
        <w:ind w:firstLine="480" w:firstLineChars="200"/>
        <w:rPr>
          <w:rFonts w:hAnsi="宋体"/>
          <w:sz w:val="24"/>
          <w:szCs w:val="21"/>
        </w:rPr>
      </w:pPr>
      <w:r>
        <w:rPr>
          <w:rFonts w:hint="eastAsia" w:hAnsi="宋体"/>
          <w:sz w:val="24"/>
        </w:rPr>
        <w:t>声压级示值误差应在参考声压级1000</w:t>
      </w:r>
      <w:r>
        <w:rPr>
          <w:rFonts w:hint="eastAsia"/>
          <w:sz w:val="24"/>
        </w:rPr>
        <w:t>Hz</w:t>
      </w:r>
      <w:r>
        <w:rPr>
          <w:rFonts w:hint="eastAsia" w:hAnsi="宋体"/>
          <w:sz w:val="24"/>
        </w:rPr>
        <w:t>频率上进行。应使用</w:t>
      </w:r>
      <w:r>
        <w:rPr>
          <w:sz w:val="24"/>
        </w:rPr>
        <w:t>6.2.5</w:t>
      </w:r>
      <w:r>
        <w:rPr>
          <w:rFonts w:hint="eastAsia" w:hAnsi="宋体"/>
          <w:sz w:val="24"/>
        </w:rPr>
        <w:t>中规定性能等级的声校准器，必要时优先使用由制造商规定型号的声校准器，依据使用说明书提供的校准方法和调整数据，并使用合适的传感器适配器，在校准检查频率上检查测试仪于声校准器所产生的声压级的指示值</w:t>
      </w:r>
      <w:r>
        <w:rPr>
          <w:position w:val="-14"/>
        </w:rPr>
        <w:object>
          <v:shape id="_x0000_i1037" o:spt="75" type="#_x0000_t75" style="height:18.75pt;width:17.25pt;" o:ole="t" filled="f" o:preferrelative="t" stroked="f" coordsize="21600,21600">
            <v:path/>
            <v:fill on="f" focussize="0,0"/>
            <v:stroke on="f" joinstyle="miter"/>
            <v:imagedata r:id="rId33" o:title=""/>
            <o:lock v:ext="edit" aspectratio="t"/>
            <w10:wrap type="none"/>
            <w10:anchorlock/>
          </v:shape>
          <o:OLEObject Type="Embed" ProgID="Equation.DSMT4" ShapeID="_x0000_i1037" DrawAspect="Content" ObjectID="_1468075737" r:id="rId32">
            <o:LockedField>false</o:LockedField>
          </o:OLEObject>
        </w:object>
      </w:r>
      <w:r>
        <w:rPr>
          <w:rFonts w:hint="eastAsia" w:hAnsi="宋体"/>
          <w:sz w:val="24"/>
        </w:rPr>
        <w:t>，声校准器产生的标称值为</w:t>
      </w:r>
      <w:r>
        <w:rPr>
          <w:position w:val="-14"/>
        </w:rPr>
        <w:object>
          <v:shape id="_x0000_i1038" o:spt="75" type="#_x0000_t75" style="height:18.75pt;width:15pt;" o:ole="t" filled="f" o:preferrelative="t" stroked="f" coordsize="21600,21600">
            <v:path/>
            <v:fill on="f" focussize="0,0"/>
            <v:stroke on="f" joinstyle="miter"/>
            <v:imagedata r:id="rId35" o:title=""/>
            <o:lock v:ext="edit" aspectratio="t"/>
            <w10:wrap type="none"/>
            <w10:anchorlock/>
          </v:shape>
          <o:OLEObject Type="Embed" ProgID="Equation.DSMT4" ShapeID="_x0000_i1038" DrawAspect="Content" ObjectID="_1468075738" r:id="rId34">
            <o:LockedField>false</o:LockedField>
          </o:OLEObject>
        </w:object>
      </w:r>
      <w:r>
        <w:rPr>
          <w:rFonts w:hint="eastAsia"/>
        </w:rPr>
        <w:t>，</w:t>
      </w:r>
      <w:r>
        <w:rPr>
          <w:rFonts w:hint="eastAsia" w:hAnsi="宋体"/>
          <w:sz w:val="24"/>
          <w:szCs w:val="21"/>
        </w:rPr>
        <w:t>按式（</w:t>
      </w:r>
      <w:r>
        <w:rPr>
          <w:rFonts w:hint="eastAsia"/>
          <w:sz w:val="24"/>
          <w:szCs w:val="21"/>
        </w:rPr>
        <w:t>3</w:t>
      </w:r>
      <w:r>
        <w:rPr>
          <w:rFonts w:hint="eastAsia" w:hAnsi="宋体"/>
          <w:sz w:val="24"/>
          <w:szCs w:val="21"/>
        </w:rPr>
        <w:t>）计算测试仪的声压级示值误差。</w:t>
      </w:r>
    </w:p>
    <w:p>
      <w:pPr>
        <w:adjustRightInd w:val="0"/>
        <w:snapToGrid w:val="0"/>
        <w:spacing w:line="360" w:lineRule="auto"/>
        <w:ind w:right="420" w:firstLine="420" w:firstLineChars="200"/>
        <w:jc w:val="center"/>
        <w:rPr>
          <w:sz w:val="24"/>
        </w:rPr>
      </w:pPr>
      <w:r>
        <w:rPr>
          <w:rFonts w:hint="eastAsia"/>
          <w:position w:val="-14"/>
        </w:rPr>
        <w:t xml:space="preserve">                </w:t>
      </w:r>
      <w:r>
        <w:rPr>
          <w:position w:val="-14"/>
        </w:rPr>
        <w:object>
          <v:shape id="_x0000_i1039" o:spt="75" type="#_x0000_t75" style="height:18.75pt;width:63.75pt;" o:ole="t" filled="f" o:preferrelative="t" stroked="f" coordsize="21600,21600">
            <v:path/>
            <v:fill on="f" focussize="0,0"/>
            <v:stroke on="f" joinstyle="miter"/>
            <v:imagedata r:id="rId37" o:title=""/>
            <o:lock v:ext="edit" aspectratio="t"/>
            <w10:wrap type="none"/>
            <w10:anchorlock/>
          </v:shape>
          <o:OLEObject Type="Embed" ProgID="Equation.DSMT4" ShapeID="_x0000_i1039" DrawAspect="Content" ObjectID="_1468075739" r:id="rId36">
            <o:LockedField>false</o:LockedField>
          </o:OLEObject>
        </w:object>
      </w:r>
      <w:r>
        <w:rPr>
          <w:rFonts w:hint="eastAsia"/>
          <w:position w:val="-14"/>
        </w:rPr>
        <w:t xml:space="preserve">                           </w:t>
      </w:r>
      <w:r>
        <w:rPr>
          <w:rFonts w:hint="eastAsia"/>
          <w:sz w:val="24"/>
        </w:rPr>
        <w:t>(3)</w:t>
      </w:r>
    </w:p>
    <w:p>
      <w:pPr>
        <w:spacing w:line="360" w:lineRule="auto"/>
        <w:rPr>
          <w:sz w:val="24"/>
        </w:rPr>
      </w:pPr>
      <w:r>
        <w:rPr>
          <w:rFonts w:hint="eastAsia" w:hAnsi="宋体"/>
          <w:sz w:val="24"/>
        </w:rPr>
        <w:t>式中：</w:t>
      </w:r>
    </w:p>
    <w:p>
      <w:pPr>
        <w:spacing w:line="360" w:lineRule="auto"/>
        <w:ind w:firstLine="420" w:firstLineChars="200"/>
        <w:rPr>
          <w:sz w:val="24"/>
        </w:rPr>
      </w:pPr>
      <w:r>
        <w:rPr>
          <w:position w:val="-14"/>
        </w:rPr>
        <w:object>
          <v:shape id="_x0000_i1040" o:spt="75" type="#_x0000_t75" style="height:18.75pt;width:15pt;" o:ole="t" filled="f" o:preferrelative="t" stroked="f" coordsize="21600,21600">
            <v:path/>
            <v:fill on="f" focussize="0,0"/>
            <v:stroke on="f" joinstyle="miter"/>
            <v:imagedata r:id="rId39" o:title=""/>
            <o:lock v:ext="edit" aspectratio="t"/>
            <w10:wrap type="none"/>
            <w10:anchorlock/>
          </v:shape>
          <o:OLEObject Type="Embed" ProgID="Equation.DSMT4" ShapeID="_x0000_i1040" DrawAspect="Content" ObjectID="_1468075740" r:id="rId38">
            <o:LockedField>false</o:LockedField>
          </o:OLEObject>
        </w:object>
      </w:r>
      <w:r>
        <w:rPr>
          <w:rFonts w:hint="eastAsia"/>
          <w:sz w:val="24"/>
        </w:rPr>
        <w:t>——声压级示值误差，d</w:t>
      </w:r>
      <w:r>
        <w:rPr>
          <w:sz w:val="24"/>
        </w:rPr>
        <w:t>B</w:t>
      </w:r>
    </w:p>
    <w:p>
      <w:pPr>
        <w:spacing w:line="360" w:lineRule="auto"/>
        <w:ind w:firstLine="420" w:firstLineChars="200"/>
        <w:rPr>
          <w:sz w:val="24"/>
        </w:rPr>
      </w:pPr>
      <w:r>
        <w:rPr>
          <w:position w:val="-14"/>
        </w:rPr>
        <w:object>
          <v:shape id="_x0000_i1041" o:spt="75" type="#_x0000_t75" style="height:18.75pt;width:17.25pt;" o:ole="t" filled="f" o:preferrelative="t" stroked="f" coordsize="21600,21600">
            <v:path/>
            <v:fill on="f" focussize="0,0"/>
            <v:stroke on="f" joinstyle="miter"/>
            <v:imagedata r:id="rId41" o:title=""/>
            <o:lock v:ext="edit" aspectratio="t"/>
            <w10:wrap type="none"/>
            <w10:anchorlock/>
          </v:shape>
          <o:OLEObject Type="Embed" ProgID="Equation.DSMT4" ShapeID="_x0000_i1041" DrawAspect="Content" ObjectID="_1468075741" r:id="rId40">
            <o:LockedField>false</o:LockedField>
          </o:OLEObject>
        </w:object>
      </w:r>
      <w:r>
        <w:rPr>
          <w:rFonts w:hint="eastAsia"/>
          <w:sz w:val="24"/>
        </w:rPr>
        <w:t>——测试仪的指示值，d</w:t>
      </w:r>
      <w:r>
        <w:rPr>
          <w:sz w:val="24"/>
        </w:rPr>
        <w:t>B</w:t>
      </w:r>
      <w:r>
        <w:rPr>
          <w:rFonts w:hint="eastAsia"/>
          <w:sz w:val="24"/>
        </w:rPr>
        <w:t>；</w:t>
      </w:r>
    </w:p>
    <w:p>
      <w:pPr>
        <w:adjustRightInd w:val="0"/>
        <w:snapToGrid w:val="0"/>
        <w:spacing w:line="300" w:lineRule="auto"/>
        <w:ind w:firstLine="420" w:firstLineChars="200"/>
        <w:rPr>
          <w:sz w:val="24"/>
          <w:szCs w:val="21"/>
        </w:rPr>
      </w:pPr>
      <w:r>
        <w:rPr>
          <w:position w:val="-14"/>
        </w:rPr>
        <w:object>
          <v:shape id="_x0000_i1042" o:spt="75" type="#_x0000_t75" style="height:18.75pt;width:15pt;" o:ole="t" filled="f" o:preferrelative="t" stroked="f" coordsize="21600,21600">
            <v:path/>
            <v:fill on="f" focussize="0,0"/>
            <v:stroke on="f" joinstyle="miter"/>
            <v:imagedata r:id="rId43" o:title=""/>
            <o:lock v:ext="edit" aspectratio="t"/>
            <w10:wrap type="none"/>
            <w10:anchorlock/>
          </v:shape>
          <o:OLEObject Type="Embed" ProgID="Equation.DSMT4" ShapeID="_x0000_i1042" DrawAspect="Content" ObjectID="_1468075742" r:id="rId42">
            <o:LockedField>false</o:LockedField>
          </o:OLEObject>
        </w:object>
      </w:r>
      <w:r>
        <w:rPr>
          <w:rFonts w:hint="eastAsia"/>
          <w:sz w:val="24"/>
        </w:rPr>
        <w:t>——声校准器的标称值，d</w:t>
      </w:r>
      <w:r>
        <w:rPr>
          <w:sz w:val="24"/>
        </w:rPr>
        <w:t>B</w:t>
      </w:r>
      <w:r>
        <w:rPr>
          <w:rFonts w:hint="eastAsia"/>
          <w:sz w:val="24"/>
        </w:rPr>
        <w:t>；</w:t>
      </w:r>
    </w:p>
    <w:p>
      <w:pPr>
        <w:spacing w:line="360" w:lineRule="auto"/>
        <w:rPr>
          <w:b/>
          <w:sz w:val="24"/>
        </w:rPr>
      </w:pPr>
      <w:r>
        <w:rPr>
          <w:rFonts w:hint="eastAsia"/>
          <w:sz w:val="24"/>
        </w:rPr>
        <w:t>8</w:t>
      </w:r>
      <w:r>
        <w:rPr>
          <w:rFonts w:hint="eastAsia" w:ascii="黑体" w:hAnsi="黑体" w:eastAsia="黑体"/>
          <w:sz w:val="24"/>
        </w:rPr>
        <w:t xml:space="preserve">  校准结果</w:t>
      </w:r>
    </w:p>
    <w:p>
      <w:pPr>
        <w:adjustRightInd w:val="0"/>
        <w:snapToGrid w:val="0"/>
        <w:spacing w:line="300" w:lineRule="auto"/>
        <w:ind w:firstLine="480" w:firstLineChars="200"/>
        <w:rPr>
          <w:sz w:val="24"/>
        </w:rPr>
      </w:pPr>
      <w:r>
        <w:rPr>
          <w:rFonts w:hint="eastAsia" w:hAnsi="宋体"/>
          <w:sz w:val="24"/>
        </w:rPr>
        <w:t>电梯综合测试仪经校准后出具校准证书，推荐的校准证书内页格式见附录</w:t>
      </w:r>
      <w:r>
        <w:rPr>
          <w:rFonts w:hint="eastAsia"/>
          <w:sz w:val="24"/>
        </w:rPr>
        <w:t>A</w:t>
      </w:r>
      <w:r>
        <w:rPr>
          <w:rFonts w:hint="eastAsia" w:hAnsi="宋体"/>
          <w:sz w:val="24"/>
        </w:rPr>
        <w:t>。</w:t>
      </w:r>
    </w:p>
    <w:p>
      <w:pPr>
        <w:spacing w:line="360" w:lineRule="auto"/>
        <w:rPr>
          <w:b/>
          <w:sz w:val="24"/>
        </w:rPr>
      </w:pPr>
      <w:r>
        <w:rPr>
          <w:rFonts w:hint="eastAsia"/>
          <w:sz w:val="24"/>
        </w:rPr>
        <w:t>9</w:t>
      </w:r>
      <w:r>
        <w:rPr>
          <w:rFonts w:hint="eastAsia" w:ascii="黑体" w:hAnsi="黑体" w:eastAsia="黑体"/>
          <w:sz w:val="24"/>
        </w:rPr>
        <w:t xml:space="preserve">  复校时间间隔</w:t>
      </w:r>
    </w:p>
    <w:p>
      <w:pPr>
        <w:adjustRightInd w:val="0"/>
        <w:snapToGrid w:val="0"/>
        <w:spacing w:line="300" w:lineRule="auto"/>
        <w:ind w:firstLine="480" w:firstLineChars="200"/>
        <w:rPr>
          <w:sz w:val="24"/>
        </w:rPr>
      </w:pPr>
      <w:r>
        <w:rPr>
          <w:rFonts w:hint="eastAsia" w:hAnsi="宋体"/>
          <w:sz w:val="24"/>
        </w:rPr>
        <w:t>复校时间间隔的长短由电梯综合测试仪的使用情况、使用者、电梯综合测试仪本身质量等因素所决定。使用单位可根据实际使用情况自主决定复校时间间隔。一般复校时间不超过</w:t>
      </w:r>
      <w:r>
        <w:rPr>
          <w:rFonts w:hint="eastAsia"/>
          <w:sz w:val="24"/>
        </w:rPr>
        <w:t>1</w:t>
      </w:r>
      <w:r>
        <w:rPr>
          <w:rFonts w:hint="eastAsia" w:hAnsi="宋体"/>
          <w:sz w:val="24"/>
        </w:rPr>
        <w:t>年。</w:t>
      </w:r>
    </w:p>
    <w:p>
      <w:pPr>
        <w:rPr>
          <w:rFonts w:ascii="宋体" w:hAnsi="宋体"/>
          <w:sz w:val="24"/>
        </w:rPr>
      </w:pPr>
      <w:r>
        <w:rPr>
          <w:rFonts w:ascii="宋体" w:hAnsi="宋体"/>
          <w:sz w:val="24"/>
        </w:rPr>
        <w:br w:type="page"/>
      </w:r>
    </w:p>
    <w:p>
      <w:pPr>
        <w:spacing w:line="360" w:lineRule="auto"/>
        <w:rPr>
          <w:rFonts w:ascii="黑体" w:hAnsi="黑体" w:eastAsia="黑体"/>
          <w:sz w:val="28"/>
          <w:szCs w:val="28"/>
        </w:rPr>
      </w:pPr>
      <w:r>
        <w:rPr>
          <w:rFonts w:hint="eastAsia" w:ascii="黑体" w:hAnsi="黑体" w:eastAsia="黑体"/>
          <w:sz w:val="28"/>
          <w:szCs w:val="28"/>
        </w:rPr>
        <w:t>附录</w:t>
      </w:r>
      <w:r>
        <w:rPr>
          <w:rFonts w:hint="eastAsia" w:eastAsia="黑体"/>
          <w:sz w:val="28"/>
          <w:szCs w:val="28"/>
        </w:rPr>
        <w:t>A</w:t>
      </w:r>
    </w:p>
    <w:p>
      <w:pPr>
        <w:jc w:val="center"/>
        <w:rPr>
          <w:rStyle w:val="14"/>
          <w:rFonts w:ascii="黑体" w:hAnsi="黑体" w:eastAsia="黑体"/>
          <w:color w:val="auto"/>
          <w:sz w:val="28"/>
          <w:szCs w:val="28"/>
          <w:u w:val="none"/>
        </w:rPr>
      </w:pPr>
      <w:r>
        <w:rPr>
          <w:rStyle w:val="14"/>
          <w:rFonts w:hint="eastAsia" w:ascii="黑体" w:hAnsi="黑体" w:eastAsia="黑体"/>
          <w:color w:val="auto"/>
          <w:sz w:val="28"/>
          <w:szCs w:val="28"/>
          <w:u w:val="none"/>
        </w:rPr>
        <w:t>校准证书信息及校准记录参考格式</w:t>
      </w:r>
    </w:p>
    <w:p>
      <w:pPr>
        <w:spacing w:line="360" w:lineRule="auto"/>
        <w:rPr>
          <w:rFonts w:eastAsia="黑体" w:cs="宋体"/>
          <w:kern w:val="0"/>
          <w:sz w:val="24"/>
        </w:rPr>
      </w:pPr>
      <w:r>
        <w:rPr>
          <w:rFonts w:hint="eastAsia" w:eastAsia="黑体" w:cs="宋体"/>
          <w:kern w:val="0"/>
          <w:sz w:val="24"/>
        </w:rPr>
        <w:t xml:space="preserve">A.1  </w:t>
      </w:r>
      <w:r>
        <w:rPr>
          <w:rFonts w:hAnsi="黑体" w:eastAsia="黑体" w:cs="宋体"/>
          <w:kern w:val="0"/>
          <w:sz w:val="24"/>
        </w:rPr>
        <w:t>校准证书应至少包含以下信息</w:t>
      </w:r>
    </w:p>
    <w:p>
      <w:pPr>
        <w:spacing w:line="360" w:lineRule="auto"/>
        <w:ind w:left="424" w:leftChars="202"/>
        <w:rPr>
          <w:rFonts w:cs="宋体"/>
          <w:kern w:val="0"/>
          <w:sz w:val="24"/>
        </w:rPr>
      </w:pPr>
      <w:r>
        <w:rPr>
          <w:rFonts w:cs="宋体"/>
          <w:kern w:val="0"/>
          <w:sz w:val="24"/>
        </w:rPr>
        <w:t>1)标题，如</w:t>
      </w:r>
      <w:r>
        <w:rPr>
          <w:rFonts w:hint="eastAsia" w:cs="宋体"/>
          <w:kern w:val="0"/>
          <w:sz w:val="24"/>
        </w:rPr>
        <w:t>“</w:t>
      </w:r>
      <w:r>
        <w:rPr>
          <w:rFonts w:cs="宋体"/>
          <w:kern w:val="0"/>
          <w:sz w:val="24"/>
        </w:rPr>
        <w:t>校准证书</w:t>
      </w:r>
      <w:r>
        <w:rPr>
          <w:rFonts w:hint="eastAsia" w:cs="宋体"/>
          <w:kern w:val="0"/>
          <w:sz w:val="24"/>
        </w:rPr>
        <w:t>”；</w:t>
      </w:r>
    </w:p>
    <w:p>
      <w:pPr>
        <w:spacing w:line="360" w:lineRule="auto"/>
        <w:ind w:left="424" w:leftChars="202"/>
        <w:rPr>
          <w:rFonts w:cs="宋体"/>
          <w:kern w:val="0"/>
          <w:sz w:val="24"/>
        </w:rPr>
      </w:pPr>
      <w:r>
        <w:rPr>
          <w:rFonts w:cs="宋体"/>
          <w:kern w:val="0"/>
          <w:sz w:val="24"/>
        </w:rPr>
        <w:t>2)实验室名称和地址</w:t>
      </w:r>
      <w:r>
        <w:rPr>
          <w:rFonts w:hint="eastAsia" w:cs="宋体"/>
          <w:kern w:val="0"/>
          <w:sz w:val="24"/>
        </w:rPr>
        <w:t>；</w:t>
      </w:r>
    </w:p>
    <w:p>
      <w:pPr>
        <w:spacing w:line="360" w:lineRule="auto"/>
        <w:ind w:left="424" w:leftChars="202"/>
        <w:rPr>
          <w:rFonts w:cs="宋体"/>
          <w:kern w:val="0"/>
          <w:sz w:val="24"/>
        </w:rPr>
      </w:pPr>
      <w:r>
        <w:rPr>
          <w:rFonts w:cs="宋体"/>
          <w:kern w:val="0"/>
          <w:sz w:val="24"/>
        </w:rPr>
        <w:t>3)进行校准的地点</w:t>
      </w:r>
      <w:r>
        <w:rPr>
          <w:rFonts w:hint="eastAsia" w:cs="宋体"/>
          <w:kern w:val="0"/>
          <w:sz w:val="24"/>
        </w:rPr>
        <w:t>；</w:t>
      </w:r>
    </w:p>
    <w:p>
      <w:pPr>
        <w:spacing w:line="360" w:lineRule="auto"/>
        <w:ind w:left="424" w:leftChars="202"/>
        <w:rPr>
          <w:rFonts w:cs="宋体"/>
          <w:kern w:val="0"/>
          <w:sz w:val="24"/>
        </w:rPr>
      </w:pPr>
      <w:r>
        <w:rPr>
          <w:rFonts w:cs="宋体"/>
          <w:kern w:val="0"/>
          <w:sz w:val="24"/>
        </w:rPr>
        <w:t>4)证书的唯一性标识 (如编号)，每页及总页数的标识</w:t>
      </w:r>
      <w:r>
        <w:rPr>
          <w:rFonts w:hint="eastAsia" w:cs="宋体"/>
          <w:kern w:val="0"/>
          <w:sz w:val="24"/>
        </w:rPr>
        <w:t>；</w:t>
      </w:r>
    </w:p>
    <w:p>
      <w:pPr>
        <w:spacing w:line="360" w:lineRule="auto"/>
        <w:ind w:left="424" w:leftChars="202"/>
        <w:rPr>
          <w:rFonts w:cs="宋体"/>
          <w:kern w:val="0"/>
          <w:sz w:val="24"/>
        </w:rPr>
      </w:pPr>
      <w:r>
        <w:rPr>
          <w:rFonts w:cs="宋体"/>
          <w:kern w:val="0"/>
          <w:sz w:val="24"/>
        </w:rPr>
        <w:t>5)送校单位的名称和地址</w:t>
      </w:r>
      <w:r>
        <w:rPr>
          <w:rFonts w:hint="eastAsia" w:cs="宋体"/>
          <w:kern w:val="0"/>
          <w:sz w:val="24"/>
        </w:rPr>
        <w:t>；</w:t>
      </w:r>
    </w:p>
    <w:p>
      <w:pPr>
        <w:spacing w:line="360" w:lineRule="auto"/>
        <w:ind w:left="424" w:leftChars="202"/>
        <w:rPr>
          <w:rFonts w:cs="宋体"/>
          <w:kern w:val="0"/>
          <w:sz w:val="24"/>
        </w:rPr>
      </w:pPr>
      <w:r>
        <w:rPr>
          <w:rFonts w:cs="宋体"/>
          <w:kern w:val="0"/>
          <w:sz w:val="24"/>
        </w:rPr>
        <w:t>6)被校对象的描述和明确标识</w:t>
      </w:r>
      <w:r>
        <w:rPr>
          <w:rFonts w:hint="eastAsia" w:cs="宋体"/>
          <w:kern w:val="0"/>
          <w:sz w:val="24"/>
        </w:rPr>
        <w:t>；</w:t>
      </w:r>
    </w:p>
    <w:p>
      <w:pPr>
        <w:spacing w:line="360" w:lineRule="auto"/>
        <w:ind w:firstLine="422" w:firstLineChars="176"/>
        <w:rPr>
          <w:rFonts w:cs="宋体"/>
          <w:kern w:val="0"/>
          <w:sz w:val="24"/>
        </w:rPr>
      </w:pPr>
      <w:r>
        <w:rPr>
          <w:rFonts w:cs="宋体"/>
          <w:kern w:val="0"/>
          <w:sz w:val="24"/>
        </w:rPr>
        <w:t>7)进行校准的日期</w:t>
      </w:r>
      <w:r>
        <w:rPr>
          <w:rFonts w:hint="eastAsia" w:cs="宋体"/>
          <w:kern w:val="0"/>
          <w:sz w:val="24"/>
        </w:rPr>
        <w:t>,如果与校准结果的有效性和应用有关时，应说明被校准对象的接受日期；</w:t>
      </w:r>
    </w:p>
    <w:p>
      <w:pPr>
        <w:spacing w:line="360" w:lineRule="auto"/>
        <w:ind w:firstLine="422" w:firstLineChars="176"/>
        <w:rPr>
          <w:rFonts w:cs="宋体"/>
          <w:kern w:val="0"/>
          <w:sz w:val="24"/>
        </w:rPr>
      </w:pPr>
      <w:r>
        <w:rPr>
          <w:rFonts w:hint="eastAsia" w:cs="宋体"/>
          <w:kern w:val="0"/>
          <w:sz w:val="24"/>
        </w:rPr>
        <w:t>8</w:t>
      </w:r>
      <w:r>
        <w:rPr>
          <w:rFonts w:cs="宋体"/>
          <w:kern w:val="0"/>
          <w:sz w:val="24"/>
        </w:rPr>
        <w:t>)</w:t>
      </w:r>
      <w:r>
        <w:rPr>
          <w:rFonts w:hint="eastAsia" w:cs="宋体"/>
          <w:kern w:val="0"/>
          <w:sz w:val="24"/>
        </w:rPr>
        <w:t>如果与校准结果的有效性和应用有关时，应对被校样品的抽样程序进行说明；</w:t>
      </w:r>
    </w:p>
    <w:p>
      <w:pPr>
        <w:spacing w:line="360" w:lineRule="auto"/>
        <w:ind w:left="424" w:leftChars="202"/>
        <w:rPr>
          <w:rFonts w:cs="宋体"/>
          <w:kern w:val="0"/>
          <w:sz w:val="24"/>
        </w:rPr>
      </w:pPr>
      <w:r>
        <w:rPr>
          <w:rFonts w:hint="eastAsia" w:cs="宋体"/>
          <w:kern w:val="0"/>
          <w:sz w:val="24"/>
        </w:rPr>
        <w:t>9</w:t>
      </w:r>
      <w:r>
        <w:rPr>
          <w:rFonts w:cs="宋体"/>
          <w:kern w:val="0"/>
          <w:sz w:val="24"/>
        </w:rPr>
        <w:t>)对校准所依据的技术规范的标识，包括名称及代号</w:t>
      </w:r>
      <w:r>
        <w:rPr>
          <w:rFonts w:hint="eastAsia" w:cs="宋体"/>
          <w:kern w:val="0"/>
          <w:sz w:val="24"/>
        </w:rPr>
        <w:t>；</w:t>
      </w:r>
    </w:p>
    <w:p>
      <w:pPr>
        <w:spacing w:line="360" w:lineRule="auto"/>
        <w:ind w:left="424" w:leftChars="202"/>
        <w:rPr>
          <w:rFonts w:cs="宋体"/>
          <w:kern w:val="0"/>
          <w:sz w:val="24"/>
        </w:rPr>
      </w:pPr>
      <w:r>
        <w:rPr>
          <w:rFonts w:hint="eastAsia" w:cs="宋体"/>
          <w:kern w:val="0"/>
          <w:sz w:val="24"/>
        </w:rPr>
        <w:t>10</w:t>
      </w:r>
      <w:r>
        <w:rPr>
          <w:rFonts w:cs="宋体"/>
          <w:kern w:val="0"/>
          <w:sz w:val="24"/>
        </w:rPr>
        <w:t>)本次校准所用测量标准的溯源性及有效性说明</w:t>
      </w:r>
      <w:r>
        <w:rPr>
          <w:rFonts w:hint="eastAsia" w:cs="宋体"/>
          <w:kern w:val="0"/>
          <w:sz w:val="24"/>
        </w:rPr>
        <w:t>；</w:t>
      </w:r>
    </w:p>
    <w:p>
      <w:pPr>
        <w:spacing w:line="360" w:lineRule="auto"/>
        <w:ind w:left="424" w:leftChars="202"/>
        <w:rPr>
          <w:rFonts w:cs="宋体"/>
          <w:kern w:val="0"/>
          <w:sz w:val="24"/>
        </w:rPr>
      </w:pPr>
      <w:r>
        <w:rPr>
          <w:rFonts w:cs="宋体"/>
          <w:kern w:val="0"/>
          <w:sz w:val="24"/>
        </w:rPr>
        <w:t>1</w:t>
      </w:r>
      <w:r>
        <w:rPr>
          <w:rFonts w:hint="eastAsia" w:cs="宋体"/>
          <w:kern w:val="0"/>
          <w:sz w:val="24"/>
        </w:rPr>
        <w:t>1</w:t>
      </w:r>
      <w:r>
        <w:rPr>
          <w:rFonts w:cs="宋体"/>
          <w:kern w:val="0"/>
          <w:sz w:val="24"/>
        </w:rPr>
        <w:t>)校准环境的描述</w:t>
      </w:r>
      <w:r>
        <w:rPr>
          <w:rFonts w:hint="eastAsia" w:cs="宋体"/>
          <w:kern w:val="0"/>
          <w:sz w:val="24"/>
        </w:rPr>
        <w:t>；</w:t>
      </w:r>
    </w:p>
    <w:p>
      <w:pPr>
        <w:spacing w:line="360" w:lineRule="auto"/>
        <w:ind w:left="424" w:leftChars="202"/>
        <w:rPr>
          <w:rFonts w:cs="宋体"/>
          <w:kern w:val="0"/>
          <w:sz w:val="24"/>
        </w:rPr>
      </w:pPr>
      <w:r>
        <w:rPr>
          <w:rFonts w:cs="宋体"/>
          <w:kern w:val="0"/>
          <w:sz w:val="24"/>
        </w:rPr>
        <w:t>1</w:t>
      </w:r>
      <w:r>
        <w:rPr>
          <w:rFonts w:hint="eastAsia" w:cs="宋体"/>
          <w:kern w:val="0"/>
          <w:sz w:val="24"/>
        </w:rPr>
        <w:t>2</w:t>
      </w:r>
      <w:r>
        <w:rPr>
          <w:rFonts w:cs="宋体"/>
          <w:kern w:val="0"/>
          <w:sz w:val="24"/>
        </w:rPr>
        <w:t>)校准结果及其测量不确定度的说明</w:t>
      </w:r>
      <w:r>
        <w:rPr>
          <w:rFonts w:hint="eastAsia" w:cs="宋体"/>
          <w:kern w:val="0"/>
          <w:sz w:val="24"/>
        </w:rPr>
        <w:t>；</w:t>
      </w:r>
    </w:p>
    <w:p>
      <w:pPr>
        <w:spacing w:line="360" w:lineRule="auto"/>
        <w:ind w:left="424" w:leftChars="202"/>
        <w:rPr>
          <w:rFonts w:cs="宋体"/>
          <w:kern w:val="0"/>
          <w:sz w:val="24"/>
        </w:rPr>
      </w:pPr>
      <w:r>
        <w:rPr>
          <w:rFonts w:cs="宋体"/>
          <w:kern w:val="0"/>
          <w:sz w:val="24"/>
        </w:rPr>
        <w:t>1</w:t>
      </w:r>
      <w:r>
        <w:rPr>
          <w:rFonts w:hint="eastAsia" w:cs="宋体"/>
          <w:kern w:val="0"/>
          <w:sz w:val="24"/>
        </w:rPr>
        <w:t>3</w:t>
      </w:r>
      <w:r>
        <w:rPr>
          <w:rFonts w:cs="宋体"/>
          <w:kern w:val="0"/>
          <w:sz w:val="24"/>
        </w:rPr>
        <w:t>)</w:t>
      </w:r>
      <w:r>
        <w:rPr>
          <w:rFonts w:hint="eastAsia" w:cs="宋体"/>
          <w:kern w:val="0"/>
          <w:sz w:val="24"/>
        </w:rPr>
        <w:t>对校准规范的偏离的说明；</w:t>
      </w:r>
    </w:p>
    <w:p>
      <w:pPr>
        <w:spacing w:line="360" w:lineRule="auto"/>
        <w:ind w:left="424" w:leftChars="202"/>
        <w:rPr>
          <w:rFonts w:cs="宋体"/>
          <w:kern w:val="0"/>
          <w:sz w:val="24"/>
        </w:rPr>
      </w:pPr>
      <w:r>
        <w:rPr>
          <w:rFonts w:cs="宋体"/>
          <w:kern w:val="0"/>
          <w:sz w:val="24"/>
        </w:rPr>
        <w:t>1</w:t>
      </w:r>
      <w:r>
        <w:rPr>
          <w:rFonts w:hint="eastAsia" w:cs="宋体"/>
          <w:kern w:val="0"/>
          <w:sz w:val="24"/>
        </w:rPr>
        <w:t>4</w:t>
      </w:r>
      <w:r>
        <w:rPr>
          <w:rFonts w:cs="宋体"/>
          <w:kern w:val="0"/>
          <w:sz w:val="24"/>
        </w:rPr>
        <w:t>)校准证书签发人的签名</w:t>
      </w:r>
      <w:r>
        <w:rPr>
          <w:rFonts w:hint="eastAsia" w:cs="宋体"/>
          <w:kern w:val="0"/>
          <w:sz w:val="24"/>
        </w:rPr>
        <w:t>或等效标识；</w:t>
      </w:r>
    </w:p>
    <w:p>
      <w:pPr>
        <w:spacing w:line="360" w:lineRule="auto"/>
        <w:ind w:left="424" w:leftChars="202"/>
        <w:rPr>
          <w:rFonts w:cs="宋体"/>
          <w:kern w:val="0"/>
          <w:sz w:val="24"/>
        </w:rPr>
      </w:pPr>
      <w:r>
        <w:rPr>
          <w:rFonts w:cs="宋体"/>
          <w:kern w:val="0"/>
          <w:sz w:val="24"/>
        </w:rPr>
        <w:t>1</w:t>
      </w:r>
      <w:r>
        <w:rPr>
          <w:rFonts w:hint="eastAsia" w:cs="宋体"/>
          <w:kern w:val="0"/>
          <w:sz w:val="24"/>
        </w:rPr>
        <w:t>5</w:t>
      </w:r>
      <w:r>
        <w:rPr>
          <w:rFonts w:cs="宋体"/>
          <w:kern w:val="0"/>
          <w:sz w:val="24"/>
        </w:rPr>
        <w:t>)校准结果仅对被校对象有效的声明</w:t>
      </w:r>
      <w:r>
        <w:rPr>
          <w:rFonts w:hint="eastAsia" w:cs="宋体"/>
          <w:kern w:val="0"/>
          <w:sz w:val="24"/>
        </w:rPr>
        <w:t>；</w:t>
      </w:r>
    </w:p>
    <w:p>
      <w:pPr>
        <w:spacing w:line="360" w:lineRule="auto"/>
        <w:ind w:left="424" w:leftChars="202"/>
        <w:rPr>
          <w:rFonts w:cs="宋体"/>
          <w:kern w:val="0"/>
          <w:sz w:val="24"/>
        </w:rPr>
      </w:pPr>
      <w:r>
        <w:rPr>
          <w:rFonts w:cs="宋体"/>
          <w:kern w:val="0"/>
          <w:sz w:val="24"/>
        </w:rPr>
        <w:t>1</w:t>
      </w:r>
      <w:r>
        <w:rPr>
          <w:rFonts w:hint="eastAsia" w:cs="宋体"/>
          <w:kern w:val="0"/>
          <w:sz w:val="24"/>
        </w:rPr>
        <w:t>6</w:t>
      </w:r>
      <w:r>
        <w:rPr>
          <w:rFonts w:cs="宋体"/>
          <w:kern w:val="0"/>
          <w:sz w:val="24"/>
        </w:rPr>
        <w:t>)未经实验室书面批准，不得部分复制证书的声明</w:t>
      </w:r>
      <w:r>
        <w:rPr>
          <w:rFonts w:hint="eastAsia" w:cs="宋体"/>
          <w:kern w:val="0"/>
          <w:sz w:val="24"/>
        </w:rPr>
        <w:t>。</w:t>
      </w:r>
    </w:p>
    <w:p>
      <w:pPr>
        <w:spacing w:line="360" w:lineRule="auto"/>
        <w:rPr>
          <w:rFonts w:eastAsia="黑体" w:cs="宋体"/>
          <w:kern w:val="0"/>
          <w:sz w:val="24"/>
        </w:rPr>
      </w:pPr>
    </w:p>
    <w:p>
      <w:pPr>
        <w:spacing w:line="360" w:lineRule="auto"/>
        <w:rPr>
          <w:rFonts w:eastAsia="黑体" w:cs="宋体"/>
          <w:kern w:val="0"/>
          <w:sz w:val="24"/>
        </w:rPr>
      </w:pPr>
    </w:p>
    <w:p>
      <w:pPr>
        <w:spacing w:line="360" w:lineRule="auto"/>
        <w:rPr>
          <w:rFonts w:eastAsia="黑体" w:cs="宋体"/>
          <w:kern w:val="0"/>
          <w:sz w:val="24"/>
        </w:rPr>
      </w:pPr>
    </w:p>
    <w:p>
      <w:pPr>
        <w:spacing w:line="360" w:lineRule="auto"/>
        <w:rPr>
          <w:rFonts w:eastAsia="黑体" w:cs="宋体"/>
          <w:kern w:val="0"/>
          <w:sz w:val="24"/>
        </w:rPr>
      </w:pPr>
    </w:p>
    <w:p>
      <w:pPr>
        <w:spacing w:line="360" w:lineRule="auto"/>
        <w:rPr>
          <w:rFonts w:eastAsia="黑体" w:cs="宋体"/>
          <w:kern w:val="0"/>
          <w:sz w:val="24"/>
        </w:rPr>
      </w:pPr>
    </w:p>
    <w:p>
      <w:pPr>
        <w:spacing w:line="360" w:lineRule="auto"/>
        <w:rPr>
          <w:rFonts w:eastAsia="黑体" w:cs="宋体"/>
          <w:kern w:val="0"/>
          <w:sz w:val="24"/>
        </w:rPr>
      </w:pPr>
    </w:p>
    <w:p>
      <w:pPr>
        <w:spacing w:line="360" w:lineRule="auto"/>
        <w:rPr>
          <w:rFonts w:eastAsia="黑体" w:cs="宋体"/>
          <w:kern w:val="0"/>
          <w:sz w:val="24"/>
        </w:rPr>
      </w:pPr>
    </w:p>
    <w:p>
      <w:pPr>
        <w:spacing w:line="360" w:lineRule="auto"/>
        <w:rPr>
          <w:rFonts w:eastAsia="黑体" w:cs="宋体"/>
          <w:kern w:val="0"/>
          <w:sz w:val="24"/>
        </w:rPr>
      </w:pPr>
    </w:p>
    <w:p>
      <w:pPr>
        <w:spacing w:line="360" w:lineRule="auto"/>
        <w:rPr>
          <w:rFonts w:eastAsia="黑体"/>
          <w:sz w:val="24"/>
        </w:rPr>
      </w:pPr>
      <w:r>
        <w:rPr>
          <w:rFonts w:hint="eastAsia" w:eastAsia="黑体" w:cs="宋体"/>
          <w:kern w:val="0"/>
          <w:sz w:val="24"/>
        </w:rPr>
        <w:t xml:space="preserve">A.2  </w:t>
      </w:r>
      <w:r>
        <w:rPr>
          <w:rFonts w:hint="eastAsia" w:hAnsi="黑体" w:eastAsia="黑体"/>
          <w:sz w:val="24"/>
        </w:rPr>
        <w:t>校准证书（内页）参考格式</w:t>
      </w:r>
    </w:p>
    <w:p>
      <w:pPr>
        <w:widowControl/>
        <w:spacing w:before="75" w:after="75"/>
        <w:ind w:firstLine="420"/>
        <w:rPr>
          <w:rFonts w:cs="宋体"/>
          <w:sz w:val="24"/>
        </w:rPr>
      </w:pPr>
      <w:r>
        <w:rPr>
          <w:rFonts w:hint="eastAsia"/>
          <w:sz w:val="24"/>
        </w:rPr>
        <w:t>1</w:t>
      </w:r>
      <w:r>
        <w:rPr>
          <w:rFonts w:hint="eastAsia" w:cs="宋体"/>
          <w:sz w:val="24"/>
        </w:rPr>
        <w:t>.幅值示值误差（加速度峰值）</w:t>
      </w:r>
      <w:r>
        <w:rPr>
          <w:rFonts w:cs="宋体"/>
          <w:sz w:val="24"/>
        </w:rPr>
        <w:t>：</w:t>
      </w:r>
    </w:p>
    <w:p>
      <w:pPr>
        <w:widowControl/>
        <w:spacing w:before="75" w:after="75"/>
        <w:ind w:left="840"/>
        <w:rPr>
          <w:rFonts w:cs="宋体"/>
          <w:sz w:val="24"/>
        </w:rPr>
      </w:pPr>
      <w:r>
        <w:rPr>
          <w:rFonts w:hint="eastAsia" w:cs="宋体"/>
          <w:sz w:val="24"/>
        </w:rPr>
        <w:t>相对扩展不确定度</w:t>
      </w:r>
      <w:r>
        <w:rPr>
          <w:rFonts w:hint="eastAsia" w:hAnsi="suzhouFont" w:cs="宋体"/>
          <w:i/>
          <w:iCs/>
          <w:sz w:val="24"/>
        </w:rPr>
        <w:t>U</w:t>
      </w:r>
      <w:r>
        <w:rPr>
          <w:rFonts w:hint="eastAsia" w:hAnsi="suzhouFont" w:cs="宋体"/>
          <w:sz w:val="24"/>
          <w:vertAlign w:val="subscript"/>
        </w:rPr>
        <w:t>rel</w:t>
      </w:r>
      <w:r>
        <w:rPr>
          <w:rFonts w:hint="eastAsia" w:hAnsi="suzhouFont" w:cs="宋体"/>
          <w:sz w:val="24"/>
        </w:rPr>
        <w:t>(</w:t>
      </w:r>
      <w:r>
        <w:rPr>
          <w:rFonts w:hint="eastAsia" w:hAnsi="suzhouFont" w:cs="宋体"/>
          <w:i/>
          <w:iCs/>
          <w:sz w:val="24"/>
        </w:rPr>
        <w:t>k</w:t>
      </w:r>
      <w:r>
        <w:rPr>
          <w:rFonts w:hint="eastAsia" w:hAnsi="suzhouFont" w:cs="宋体"/>
          <w:sz w:val="24"/>
        </w:rPr>
        <w:t>=2)</w:t>
      </w:r>
    </w:p>
    <w:p>
      <w:pPr>
        <w:widowControl/>
        <w:spacing w:before="75" w:after="75"/>
        <w:ind w:firstLine="660" w:firstLineChars="275"/>
        <w:rPr>
          <w:rFonts w:cs="宋体"/>
          <w:sz w:val="24"/>
        </w:rPr>
      </w:pPr>
      <w:r>
        <w:rPr>
          <w:rFonts w:hint="eastAsia" w:cs="宋体"/>
          <w:sz w:val="24"/>
        </w:rPr>
        <w:t>幅值示值误差（速度峰值）</w:t>
      </w:r>
      <w:r>
        <w:rPr>
          <w:rFonts w:cs="宋体"/>
          <w:sz w:val="24"/>
        </w:rPr>
        <w:t>：</w:t>
      </w:r>
    </w:p>
    <w:p>
      <w:pPr>
        <w:widowControl/>
        <w:spacing w:before="75" w:after="75"/>
        <w:ind w:left="420" w:firstLine="420"/>
        <w:rPr>
          <w:rFonts w:hint="eastAsia" w:hAnsi="suzhouFont" w:cs="宋体"/>
          <w:sz w:val="24"/>
        </w:rPr>
      </w:pPr>
      <w:r>
        <w:rPr>
          <w:rFonts w:hint="eastAsia" w:cs="宋体"/>
          <w:sz w:val="24"/>
        </w:rPr>
        <w:t>相对扩展不确定度</w:t>
      </w:r>
      <w:r>
        <w:rPr>
          <w:rFonts w:hint="eastAsia" w:hAnsi="suzhouFont" w:cs="宋体"/>
          <w:i/>
          <w:iCs/>
          <w:sz w:val="24"/>
        </w:rPr>
        <w:t>U</w:t>
      </w:r>
      <w:r>
        <w:rPr>
          <w:rFonts w:hint="eastAsia" w:hAnsi="suzhouFont" w:cs="宋体"/>
          <w:sz w:val="24"/>
          <w:vertAlign w:val="subscript"/>
        </w:rPr>
        <w:t>rel</w:t>
      </w:r>
      <w:r>
        <w:rPr>
          <w:rFonts w:hint="eastAsia" w:hAnsi="suzhouFont" w:cs="宋体"/>
          <w:sz w:val="24"/>
        </w:rPr>
        <w:t>(</w:t>
      </w:r>
      <w:r>
        <w:rPr>
          <w:rFonts w:hint="eastAsia" w:hAnsi="suzhouFont" w:cs="宋体"/>
          <w:i/>
          <w:iCs/>
          <w:sz w:val="24"/>
        </w:rPr>
        <w:t>k</w:t>
      </w:r>
      <w:r>
        <w:rPr>
          <w:rFonts w:hint="eastAsia" w:hAnsi="suzhouFont" w:cs="宋体"/>
          <w:sz w:val="24"/>
        </w:rPr>
        <w:t>=2)</w:t>
      </w:r>
    </w:p>
    <w:p>
      <w:pPr>
        <w:widowControl/>
        <w:spacing w:before="75" w:after="75"/>
        <w:ind w:firstLine="420"/>
        <w:rPr>
          <w:rFonts w:cs="宋体"/>
          <w:sz w:val="24"/>
        </w:rPr>
      </w:pPr>
      <w:r>
        <w:rPr>
          <w:rFonts w:hint="eastAsia" w:cs="宋体"/>
          <w:sz w:val="24"/>
        </w:rPr>
        <w:t>2.</w:t>
      </w:r>
      <w:r>
        <w:rPr>
          <w:rFonts w:hint="eastAsia" w:hAnsi="suzhouFont" w:cs="宋体"/>
          <w:sz w:val="24"/>
        </w:rPr>
        <w:t>幅值线性度（频率为</w:t>
      </w:r>
      <w:r>
        <w:rPr>
          <w:rFonts w:hint="eastAsia" w:cs="宋体"/>
          <w:sz w:val="24"/>
        </w:rPr>
        <w:t>8.0Hz</w:t>
      </w:r>
      <w:r>
        <w:rPr>
          <w:rFonts w:hint="eastAsia" w:hAnsi="suzhouFont" w:cs="宋体"/>
          <w:sz w:val="24"/>
        </w:rPr>
        <w:t>）：</w:t>
      </w:r>
    </w:p>
    <w:p>
      <w:pPr>
        <w:widowControl/>
        <w:adjustRightInd w:val="0"/>
        <w:snapToGrid w:val="0"/>
        <w:spacing w:before="75" w:after="75"/>
        <w:ind w:firstLine="420"/>
        <w:rPr>
          <w:rFonts w:cs="宋体"/>
          <w:sz w:val="24"/>
        </w:rPr>
      </w:pPr>
      <w:r>
        <w:rPr>
          <w:rFonts w:hint="eastAsia" w:cs="宋体"/>
          <w:sz w:val="24"/>
        </w:rPr>
        <w:t>3</w:t>
      </w:r>
      <w:r>
        <w:rPr>
          <w:rFonts w:cs="宋体"/>
          <w:sz w:val="24"/>
        </w:rPr>
        <w:t>.</w:t>
      </w:r>
      <w:r>
        <w:rPr>
          <w:rFonts w:hint="eastAsia" w:cs="宋体"/>
          <w:sz w:val="24"/>
        </w:rPr>
        <w:t>加速度分辨力：</w:t>
      </w:r>
    </w:p>
    <w:p>
      <w:pPr>
        <w:widowControl/>
        <w:adjustRightInd w:val="0"/>
        <w:snapToGrid w:val="0"/>
        <w:spacing w:before="75" w:after="75"/>
        <w:ind w:firstLine="420"/>
        <w:rPr>
          <w:rFonts w:cs="宋体"/>
          <w:sz w:val="24"/>
        </w:rPr>
      </w:pPr>
      <w:r>
        <w:rPr>
          <w:rFonts w:hint="eastAsia" w:cs="宋体"/>
          <w:sz w:val="24"/>
        </w:rPr>
        <w:t>4.时间示值误差：</w:t>
      </w:r>
    </w:p>
    <w:p>
      <w:pPr>
        <w:widowControl/>
        <w:spacing w:before="75" w:after="75"/>
        <w:ind w:left="420" w:firstLine="420"/>
        <w:rPr>
          <w:rFonts w:hint="eastAsia" w:hAnsi="suzhouFont" w:cs="宋体"/>
          <w:sz w:val="24"/>
        </w:rPr>
      </w:pPr>
      <w:r>
        <w:rPr>
          <w:rFonts w:hint="eastAsia" w:hAnsi="suzhouFont" w:cs="宋体"/>
          <w:sz w:val="24"/>
        </w:rPr>
        <w:t>相对扩展不确定度</w:t>
      </w:r>
      <w:r>
        <w:rPr>
          <w:rFonts w:hint="eastAsia" w:hAnsi="suzhouFont" w:cs="宋体"/>
          <w:i/>
          <w:iCs/>
          <w:sz w:val="24"/>
        </w:rPr>
        <w:t>U</w:t>
      </w:r>
      <w:r>
        <w:rPr>
          <w:rFonts w:hint="eastAsia" w:hAnsi="suzhouFont" w:cs="宋体"/>
          <w:sz w:val="24"/>
          <w:vertAlign w:val="subscript"/>
        </w:rPr>
        <w:t>rel</w:t>
      </w:r>
      <w:r>
        <w:rPr>
          <w:rFonts w:hint="eastAsia" w:hAnsi="suzhouFont" w:cs="宋体"/>
          <w:sz w:val="24"/>
        </w:rPr>
        <w:t>(</w:t>
      </w:r>
      <w:r>
        <w:rPr>
          <w:rFonts w:hint="eastAsia" w:hAnsi="suzhouFont" w:cs="宋体"/>
          <w:i/>
          <w:iCs/>
          <w:sz w:val="24"/>
        </w:rPr>
        <w:t>k</w:t>
      </w:r>
      <w:r>
        <w:rPr>
          <w:rFonts w:hint="eastAsia" w:hAnsi="suzhouFont" w:cs="宋体"/>
          <w:sz w:val="24"/>
        </w:rPr>
        <w:t>=2)</w:t>
      </w:r>
    </w:p>
    <w:p>
      <w:pPr>
        <w:widowControl/>
        <w:adjustRightInd w:val="0"/>
        <w:snapToGrid w:val="0"/>
        <w:spacing w:before="75" w:after="75"/>
        <w:ind w:firstLine="420"/>
        <w:rPr>
          <w:rFonts w:cs="宋体"/>
          <w:sz w:val="24"/>
          <w:highlight w:val="yellow"/>
        </w:rPr>
      </w:pPr>
      <w:r>
        <w:rPr>
          <w:rFonts w:hint="eastAsia" w:cs="宋体"/>
          <w:sz w:val="24"/>
        </w:rPr>
        <w:t>5.声压级示值误差：</w:t>
      </w:r>
    </w:p>
    <w:p>
      <w:pPr>
        <w:widowControl/>
        <w:spacing w:before="75" w:after="75"/>
        <w:ind w:left="420" w:firstLine="420"/>
        <w:rPr>
          <w:rFonts w:hint="eastAsia" w:hAnsi="suzhouFont" w:cs="宋体"/>
          <w:sz w:val="24"/>
        </w:rPr>
      </w:pPr>
      <w:r>
        <w:rPr>
          <w:rFonts w:hint="eastAsia" w:hAnsi="suzhouFont" w:cs="宋体"/>
          <w:sz w:val="24"/>
        </w:rPr>
        <w:t>扩展不确定度</w:t>
      </w:r>
      <w:r>
        <w:rPr>
          <w:rFonts w:hint="eastAsia" w:hAnsi="suzhouFont" w:cs="宋体"/>
          <w:i/>
          <w:iCs/>
          <w:sz w:val="24"/>
        </w:rPr>
        <w:t>U</w:t>
      </w:r>
      <w:r>
        <w:rPr>
          <w:rFonts w:hint="eastAsia" w:hAnsi="suzhouFont" w:cs="宋体"/>
          <w:sz w:val="24"/>
          <w:vertAlign w:val="subscript"/>
        </w:rPr>
        <w:t>rel</w:t>
      </w:r>
      <w:r>
        <w:rPr>
          <w:rFonts w:hint="eastAsia" w:hAnsi="suzhouFont" w:cs="宋体"/>
          <w:sz w:val="24"/>
        </w:rPr>
        <w:t>(</w:t>
      </w:r>
      <w:r>
        <w:rPr>
          <w:rFonts w:hint="eastAsia" w:hAnsi="suzhouFont" w:cs="宋体"/>
          <w:i/>
          <w:iCs/>
          <w:sz w:val="24"/>
        </w:rPr>
        <w:t>k</w:t>
      </w:r>
      <w:r>
        <w:rPr>
          <w:rFonts w:hint="eastAsia" w:hAnsi="suzhouFont" w:cs="宋体"/>
          <w:sz w:val="24"/>
        </w:rPr>
        <w:t>=2)</w:t>
      </w:r>
    </w:p>
    <w:p>
      <w:pPr>
        <w:widowControl/>
        <w:jc w:val="left"/>
        <w:rPr>
          <w:rFonts w:eastAsia="黑体" w:cs="宋体"/>
          <w:kern w:val="0"/>
          <w:sz w:val="24"/>
        </w:rPr>
      </w:pPr>
      <w:r>
        <w:rPr>
          <w:rFonts w:eastAsia="黑体" w:cs="宋体"/>
          <w:kern w:val="0"/>
          <w:sz w:val="24"/>
        </w:rPr>
        <w:br w:type="page"/>
      </w:r>
    </w:p>
    <w:p>
      <w:pPr>
        <w:spacing w:line="360" w:lineRule="auto"/>
        <w:rPr>
          <w:rFonts w:eastAsia="黑体"/>
          <w:sz w:val="24"/>
        </w:rPr>
      </w:pPr>
      <w:r>
        <w:rPr>
          <w:rFonts w:hint="eastAsia" w:eastAsia="黑体" w:cs="宋体"/>
          <w:kern w:val="0"/>
          <w:sz w:val="24"/>
        </w:rPr>
        <w:t xml:space="preserve">A.3  </w:t>
      </w:r>
      <w:r>
        <w:rPr>
          <w:rFonts w:hint="eastAsia" w:hAnsi="黑体" w:eastAsia="黑体"/>
          <w:sz w:val="24"/>
        </w:rPr>
        <w:t>校准原始记录参考格式</w:t>
      </w:r>
    </w:p>
    <w:tbl>
      <w:tblPr>
        <w:tblStyle w:val="9"/>
        <w:tblW w:w="8315"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90"/>
        <w:gridCol w:w="2835"/>
        <w:gridCol w:w="2693"/>
        <w:gridCol w:w="149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0" w:type="dxa"/>
            <w:vAlign w:val="center"/>
          </w:tcPr>
          <w:p>
            <w:pPr>
              <w:widowControl/>
              <w:spacing w:before="75" w:after="75"/>
              <w:jc w:val="center"/>
              <w:rPr>
                <w:rFonts w:hint="eastAsia" w:hAnsi="suzhouFont" w:cs="宋体"/>
                <w:szCs w:val="21"/>
              </w:rPr>
            </w:pPr>
            <w:r>
              <w:rPr>
                <w:rFonts w:hint="eastAsia" w:hAnsi="suzhouFont" w:cs="宋体"/>
                <w:szCs w:val="21"/>
              </w:rPr>
              <w:t>委托方</w:t>
            </w:r>
          </w:p>
        </w:tc>
        <w:tc>
          <w:tcPr>
            <w:tcW w:w="7025" w:type="dxa"/>
            <w:gridSpan w:val="3"/>
            <w:vAlign w:val="center"/>
          </w:tcPr>
          <w:p>
            <w:pPr>
              <w:widowControl/>
              <w:spacing w:before="75" w:after="75"/>
              <w:jc w:val="center"/>
              <w:rPr>
                <w:rFonts w:hint="eastAsia" w:hAnsi="suzhouFont"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0" w:type="dxa"/>
            <w:vAlign w:val="center"/>
          </w:tcPr>
          <w:p>
            <w:pPr>
              <w:widowControl/>
              <w:spacing w:before="75" w:after="75"/>
              <w:jc w:val="center"/>
              <w:rPr>
                <w:rFonts w:hint="eastAsia" w:hAnsi="suzhouFont" w:cs="宋体"/>
                <w:szCs w:val="21"/>
              </w:rPr>
            </w:pPr>
            <w:r>
              <w:rPr>
                <w:rFonts w:hint="eastAsia" w:hAnsi="suzhouFont" w:cs="宋体"/>
                <w:szCs w:val="21"/>
              </w:rPr>
              <w:t>器具名称</w:t>
            </w:r>
          </w:p>
        </w:tc>
        <w:tc>
          <w:tcPr>
            <w:tcW w:w="2835" w:type="dxa"/>
            <w:vAlign w:val="center"/>
          </w:tcPr>
          <w:p>
            <w:pPr>
              <w:widowControl/>
              <w:spacing w:before="75" w:after="75"/>
              <w:jc w:val="center"/>
              <w:rPr>
                <w:rFonts w:hint="eastAsia" w:hAnsi="suzhouFont" w:cs="宋体"/>
                <w:szCs w:val="21"/>
              </w:rPr>
            </w:pPr>
          </w:p>
        </w:tc>
        <w:tc>
          <w:tcPr>
            <w:tcW w:w="2693" w:type="dxa"/>
            <w:vAlign w:val="center"/>
          </w:tcPr>
          <w:p>
            <w:pPr>
              <w:widowControl/>
              <w:spacing w:before="75" w:after="75"/>
              <w:jc w:val="center"/>
              <w:rPr>
                <w:rFonts w:hint="eastAsia" w:hAnsi="suzhouFont" w:cs="宋体"/>
                <w:szCs w:val="21"/>
              </w:rPr>
            </w:pPr>
            <w:r>
              <w:rPr>
                <w:rFonts w:hint="eastAsia" w:hAnsi="suzhouFont" w:cs="宋体"/>
                <w:szCs w:val="21"/>
              </w:rPr>
              <w:t>标准器名称</w:t>
            </w:r>
          </w:p>
        </w:tc>
        <w:tc>
          <w:tcPr>
            <w:tcW w:w="1497" w:type="dxa"/>
            <w:vAlign w:val="center"/>
          </w:tcPr>
          <w:p>
            <w:pPr>
              <w:adjustRightInd w:val="0"/>
              <w:snapToGrid w:val="0"/>
              <w:spacing w:line="360" w:lineRule="auto"/>
              <w:jc w:val="center"/>
              <w:textAlignment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0" w:type="dxa"/>
            <w:vAlign w:val="center"/>
          </w:tcPr>
          <w:p>
            <w:pPr>
              <w:widowControl/>
              <w:spacing w:before="75" w:after="75"/>
              <w:jc w:val="center"/>
              <w:rPr>
                <w:rFonts w:hint="eastAsia" w:hAnsi="suzhouFont" w:cs="宋体"/>
                <w:szCs w:val="21"/>
              </w:rPr>
            </w:pPr>
            <w:r>
              <w:rPr>
                <w:rFonts w:hint="eastAsia" w:hAnsi="suzhouFont" w:cs="宋体"/>
                <w:szCs w:val="21"/>
              </w:rPr>
              <w:t>型号规格</w:t>
            </w:r>
          </w:p>
        </w:tc>
        <w:tc>
          <w:tcPr>
            <w:tcW w:w="2835" w:type="dxa"/>
            <w:vAlign w:val="center"/>
          </w:tcPr>
          <w:p>
            <w:pPr>
              <w:widowControl/>
              <w:spacing w:before="75" w:after="75"/>
              <w:jc w:val="center"/>
              <w:rPr>
                <w:rFonts w:hint="eastAsia" w:hAnsi="suzhouFont" w:cs="宋体"/>
                <w:szCs w:val="21"/>
              </w:rPr>
            </w:pPr>
          </w:p>
        </w:tc>
        <w:tc>
          <w:tcPr>
            <w:tcW w:w="2693" w:type="dxa"/>
            <w:vAlign w:val="center"/>
          </w:tcPr>
          <w:p>
            <w:pPr>
              <w:widowControl/>
              <w:spacing w:before="75" w:after="75"/>
              <w:jc w:val="center"/>
              <w:rPr>
                <w:rFonts w:hint="eastAsia" w:hAnsi="suzhouFont" w:cs="宋体"/>
                <w:szCs w:val="21"/>
              </w:rPr>
            </w:pPr>
            <w:r>
              <w:rPr>
                <w:rFonts w:hint="eastAsia" w:hAnsi="suzhouFont" w:cs="宋体"/>
                <w:szCs w:val="21"/>
              </w:rPr>
              <w:t>型号</w:t>
            </w:r>
          </w:p>
        </w:tc>
        <w:tc>
          <w:tcPr>
            <w:tcW w:w="1497" w:type="dxa"/>
            <w:vAlign w:val="center"/>
          </w:tcPr>
          <w:p>
            <w:pPr>
              <w:adjustRightInd w:val="0"/>
              <w:snapToGrid w:val="0"/>
              <w:spacing w:line="360" w:lineRule="auto"/>
              <w:jc w:val="center"/>
              <w:textAlignment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0" w:type="dxa"/>
            <w:vAlign w:val="center"/>
          </w:tcPr>
          <w:p>
            <w:pPr>
              <w:widowControl/>
              <w:spacing w:before="75" w:after="75"/>
              <w:jc w:val="center"/>
              <w:rPr>
                <w:rFonts w:hint="eastAsia" w:hAnsi="suzhouFont" w:cs="宋体"/>
                <w:szCs w:val="21"/>
              </w:rPr>
            </w:pPr>
            <w:r>
              <w:rPr>
                <w:rFonts w:hint="eastAsia" w:hAnsi="suzhouFont" w:cs="宋体"/>
                <w:szCs w:val="21"/>
              </w:rPr>
              <w:t>器具编号</w:t>
            </w:r>
          </w:p>
        </w:tc>
        <w:tc>
          <w:tcPr>
            <w:tcW w:w="2835" w:type="dxa"/>
            <w:vAlign w:val="center"/>
          </w:tcPr>
          <w:p>
            <w:pPr>
              <w:widowControl/>
              <w:spacing w:before="75" w:after="75"/>
              <w:jc w:val="center"/>
              <w:rPr>
                <w:rFonts w:hint="eastAsia" w:hAnsi="suzhouFont" w:cs="宋体"/>
                <w:szCs w:val="21"/>
              </w:rPr>
            </w:pPr>
          </w:p>
        </w:tc>
        <w:tc>
          <w:tcPr>
            <w:tcW w:w="2693" w:type="dxa"/>
            <w:vAlign w:val="center"/>
          </w:tcPr>
          <w:p>
            <w:pPr>
              <w:widowControl/>
              <w:spacing w:before="75" w:after="75"/>
              <w:jc w:val="center"/>
              <w:rPr>
                <w:rFonts w:hint="eastAsia" w:hAnsi="suzhouFont" w:cs="宋体"/>
                <w:szCs w:val="21"/>
              </w:rPr>
            </w:pPr>
            <w:r>
              <w:rPr>
                <w:rFonts w:hint="eastAsia" w:hAnsi="suzhouFont" w:cs="宋体"/>
                <w:szCs w:val="21"/>
              </w:rPr>
              <w:t>编号</w:t>
            </w:r>
          </w:p>
        </w:tc>
        <w:tc>
          <w:tcPr>
            <w:tcW w:w="1497" w:type="dxa"/>
            <w:vAlign w:val="center"/>
          </w:tcPr>
          <w:p>
            <w:pPr>
              <w:adjustRightInd w:val="0"/>
              <w:snapToGrid w:val="0"/>
              <w:spacing w:line="360" w:lineRule="auto"/>
              <w:jc w:val="center"/>
              <w:textAlignment w:val="center"/>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0" w:type="dxa"/>
            <w:vAlign w:val="center"/>
          </w:tcPr>
          <w:p>
            <w:pPr>
              <w:widowControl/>
              <w:spacing w:before="75" w:after="75"/>
              <w:jc w:val="center"/>
              <w:rPr>
                <w:rFonts w:hint="eastAsia" w:hAnsi="suzhouFont" w:cs="宋体"/>
                <w:szCs w:val="21"/>
              </w:rPr>
            </w:pPr>
            <w:r>
              <w:rPr>
                <w:rFonts w:hint="eastAsia" w:hAnsi="suzhouFont" w:cs="宋体"/>
                <w:szCs w:val="21"/>
              </w:rPr>
              <w:t>制造厂商</w:t>
            </w:r>
          </w:p>
        </w:tc>
        <w:tc>
          <w:tcPr>
            <w:tcW w:w="2835" w:type="dxa"/>
            <w:vAlign w:val="center"/>
          </w:tcPr>
          <w:p>
            <w:pPr>
              <w:widowControl/>
              <w:spacing w:before="75" w:after="75"/>
              <w:jc w:val="center"/>
              <w:rPr>
                <w:rFonts w:hint="eastAsia" w:hAnsi="suzhouFont" w:cs="宋体"/>
                <w:szCs w:val="21"/>
              </w:rPr>
            </w:pPr>
          </w:p>
        </w:tc>
        <w:tc>
          <w:tcPr>
            <w:tcW w:w="2693" w:type="dxa"/>
            <w:vAlign w:val="center"/>
          </w:tcPr>
          <w:p>
            <w:pPr>
              <w:widowControl/>
              <w:spacing w:before="75" w:after="75"/>
              <w:jc w:val="center"/>
              <w:rPr>
                <w:rFonts w:hint="eastAsia" w:hAnsi="suzhouFont" w:cs="宋体"/>
                <w:szCs w:val="21"/>
              </w:rPr>
            </w:pPr>
            <w:r>
              <w:rPr>
                <w:rFonts w:hint="eastAsia" w:hAnsi="suzhouFont" w:cs="宋体"/>
                <w:szCs w:val="21"/>
              </w:rPr>
              <w:t>测量范围</w:t>
            </w:r>
          </w:p>
        </w:tc>
        <w:tc>
          <w:tcPr>
            <w:tcW w:w="1497" w:type="dxa"/>
            <w:vAlign w:val="center"/>
          </w:tcPr>
          <w:p>
            <w:pPr>
              <w:adjustRightInd w:val="0"/>
              <w:snapToGrid w:val="0"/>
              <w:spacing w:line="360" w:lineRule="auto"/>
              <w:jc w:val="center"/>
              <w:textAlignment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0" w:type="dxa"/>
            <w:vAlign w:val="center"/>
          </w:tcPr>
          <w:p>
            <w:pPr>
              <w:widowControl/>
              <w:spacing w:before="75" w:after="75"/>
              <w:jc w:val="center"/>
              <w:rPr>
                <w:rFonts w:hint="eastAsia" w:hAnsi="suzhouFont" w:cs="宋体"/>
                <w:szCs w:val="21"/>
              </w:rPr>
            </w:pPr>
            <w:r>
              <w:rPr>
                <w:rFonts w:hint="eastAsia" w:hAnsi="suzhouFont" w:cs="宋体"/>
                <w:szCs w:val="21"/>
              </w:rPr>
              <w:t>技术依据</w:t>
            </w:r>
          </w:p>
        </w:tc>
        <w:tc>
          <w:tcPr>
            <w:tcW w:w="2835" w:type="dxa"/>
            <w:vAlign w:val="center"/>
          </w:tcPr>
          <w:p>
            <w:pPr>
              <w:widowControl/>
              <w:spacing w:before="75" w:after="75"/>
              <w:jc w:val="center"/>
              <w:rPr>
                <w:rFonts w:hint="eastAsia" w:hAnsi="suzhouFont" w:cs="宋体"/>
                <w:szCs w:val="21"/>
              </w:rPr>
            </w:pPr>
          </w:p>
        </w:tc>
        <w:tc>
          <w:tcPr>
            <w:tcW w:w="2693" w:type="dxa"/>
            <w:vAlign w:val="center"/>
          </w:tcPr>
          <w:p>
            <w:pPr>
              <w:widowControl/>
              <w:spacing w:before="75" w:after="75"/>
              <w:jc w:val="center"/>
              <w:rPr>
                <w:rFonts w:hint="eastAsia" w:hAnsi="suzhouFont" w:cs="宋体"/>
                <w:szCs w:val="21"/>
              </w:rPr>
            </w:pPr>
            <w:r>
              <w:rPr>
                <w:rFonts w:hint="eastAsia" w:hAnsi="suzhouFont" w:cs="宋体"/>
                <w:szCs w:val="21"/>
              </w:rPr>
              <w:t>不确定度/准确度等级/最大允许误差</w:t>
            </w:r>
          </w:p>
        </w:tc>
        <w:tc>
          <w:tcPr>
            <w:tcW w:w="1497" w:type="dxa"/>
            <w:vAlign w:val="center"/>
          </w:tcPr>
          <w:p>
            <w:pPr>
              <w:adjustRightInd w:val="0"/>
              <w:snapToGrid w:val="0"/>
              <w:spacing w:line="360" w:lineRule="auto"/>
              <w:jc w:val="center"/>
              <w:textAlignment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0" w:type="dxa"/>
            <w:vMerge w:val="restart"/>
            <w:vAlign w:val="center"/>
          </w:tcPr>
          <w:p>
            <w:pPr>
              <w:widowControl/>
              <w:spacing w:before="75" w:after="75"/>
              <w:jc w:val="center"/>
              <w:rPr>
                <w:rFonts w:hint="eastAsia" w:hAnsi="suzhouFont" w:cs="宋体"/>
                <w:szCs w:val="21"/>
              </w:rPr>
            </w:pPr>
            <w:r>
              <w:rPr>
                <w:rFonts w:hint="eastAsia" w:hAnsi="suzhouFont" w:cs="宋体"/>
                <w:szCs w:val="21"/>
              </w:rPr>
              <w:t>环境条件</w:t>
            </w:r>
          </w:p>
        </w:tc>
        <w:tc>
          <w:tcPr>
            <w:tcW w:w="2835" w:type="dxa"/>
            <w:vMerge w:val="restart"/>
            <w:vAlign w:val="center"/>
          </w:tcPr>
          <w:p>
            <w:pPr>
              <w:widowControl/>
              <w:spacing w:before="75" w:after="75"/>
              <w:jc w:val="left"/>
              <w:rPr>
                <w:rFonts w:hint="eastAsia" w:hAnsi="suzhouFont" w:cs="宋体"/>
                <w:szCs w:val="21"/>
              </w:rPr>
            </w:pPr>
            <w:r>
              <w:rPr>
                <w:rFonts w:hint="eastAsia" w:hAnsi="suzhouFont" w:cs="宋体"/>
                <w:szCs w:val="21"/>
              </w:rPr>
              <w:t>温度：              ℃</w:t>
            </w:r>
          </w:p>
          <w:p>
            <w:pPr>
              <w:widowControl/>
              <w:spacing w:before="75" w:after="75"/>
              <w:jc w:val="left"/>
              <w:rPr>
                <w:rFonts w:hint="eastAsia" w:hAnsi="suzhouFont" w:cs="宋体"/>
                <w:szCs w:val="21"/>
              </w:rPr>
            </w:pPr>
            <w:r>
              <w:rPr>
                <w:rFonts w:hint="eastAsia" w:hAnsi="suzhouFont" w:cs="宋体"/>
                <w:szCs w:val="21"/>
              </w:rPr>
              <w:t>相对湿度：          %</w:t>
            </w:r>
          </w:p>
          <w:p>
            <w:pPr>
              <w:widowControl/>
              <w:spacing w:before="75" w:after="75"/>
              <w:jc w:val="left"/>
              <w:rPr>
                <w:rFonts w:hint="eastAsia" w:hAnsi="suzhouFont" w:cs="宋体"/>
                <w:szCs w:val="21"/>
              </w:rPr>
            </w:pPr>
            <w:r>
              <w:rPr>
                <w:rFonts w:hint="eastAsia" w:hAnsi="suzhouFont" w:cs="宋体"/>
                <w:szCs w:val="21"/>
              </w:rPr>
              <w:t>地点：</w:t>
            </w:r>
          </w:p>
        </w:tc>
        <w:tc>
          <w:tcPr>
            <w:tcW w:w="2693" w:type="dxa"/>
            <w:vAlign w:val="center"/>
          </w:tcPr>
          <w:p>
            <w:pPr>
              <w:widowControl/>
              <w:spacing w:before="75" w:after="75"/>
              <w:jc w:val="center"/>
              <w:rPr>
                <w:rFonts w:hint="eastAsia" w:hAnsi="suzhouFont" w:cs="宋体"/>
                <w:szCs w:val="21"/>
              </w:rPr>
            </w:pPr>
            <w:r>
              <w:rPr>
                <w:rFonts w:hint="eastAsia" w:hAnsi="suzhouFont" w:cs="宋体"/>
                <w:szCs w:val="21"/>
              </w:rPr>
              <w:t>证书号</w:t>
            </w:r>
          </w:p>
        </w:tc>
        <w:tc>
          <w:tcPr>
            <w:tcW w:w="1497" w:type="dxa"/>
            <w:vAlign w:val="center"/>
          </w:tcPr>
          <w:p>
            <w:pPr>
              <w:adjustRightInd w:val="0"/>
              <w:snapToGrid w:val="0"/>
              <w:spacing w:line="360" w:lineRule="auto"/>
              <w:jc w:val="center"/>
              <w:textAlignment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0" w:type="dxa"/>
            <w:vMerge w:val="continue"/>
            <w:vAlign w:val="center"/>
          </w:tcPr>
          <w:p>
            <w:pPr>
              <w:widowControl/>
              <w:spacing w:before="75" w:after="75"/>
              <w:jc w:val="center"/>
              <w:rPr>
                <w:rFonts w:hint="eastAsia" w:hAnsi="suzhouFont" w:cs="宋体"/>
                <w:szCs w:val="21"/>
              </w:rPr>
            </w:pPr>
          </w:p>
        </w:tc>
        <w:tc>
          <w:tcPr>
            <w:tcW w:w="2835" w:type="dxa"/>
            <w:vMerge w:val="continue"/>
            <w:vAlign w:val="center"/>
          </w:tcPr>
          <w:p>
            <w:pPr>
              <w:widowControl/>
              <w:spacing w:before="75" w:after="75"/>
              <w:jc w:val="center"/>
              <w:rPr>
                <w:rFonts w:hint="eastAsia" w:hAnsi="suzhouFont" w:cs="宋体"/>
                <w:szCs w:val="21"/>
              </w:rPr>
            </w:pPr>
          </w:p>
        </w:tc>
        <w:tc>
          <w:tcPr>
            <w:tcW w:w="2693" w:type="dxa"/>
            <w:vAlign w:val="center"/>
          </w:tcPr>
          <w:p>
            <w:pPr>
              <w:widowControl/>
              <w:spacing w:before="75" w:after="75"/>
              <w:jc w:val="center"/>
              <w:rPr>
                <w:rFonts w:hint="eastAsia" w:hAnsi="suzhouFont" w:cs="宋体"/>
                <w:szCs w:val="21"/>
              </w:rPr>
            </w:pPr>
            <w:r>
              <w:rPr>
                <w:rFonts w:hint="eastAsia" w:hAnsi="suzhouFont" w:cs="宋体"/>
                <w:szCs w:val="21"/>
              </w:rPr>
              <w:t>溯源机构</w:t>
            </w:r>
          </w:p>
        </w:tc>
        <w:tc>
          <w:tcPr>
            <w:tcW w:w="1497" w:type="dxa"/>
            <w:vAlign w:val="center"/>
          </w:tcPr>
          <w:p>
            <w:pPr>
              <w:adjustRightInd w:val="0"/>
              <w:snapToGrid w:val="0"/>
              <w:spacing w:line="360" w:lineRule="auto"/>
              <w:jc w:val="center"/>
              <w:textAlignment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0" w:type="dxa"/>
            <w:vMerge w:val="continue"/>
            <w:vAlign w:val="center"/>
          </w:tcPr>
          <w:p>
            <w:pPr>
              <w:widowControl/>
              <w:spacing w:before="75" w:after="75"/>
              <w:jc w:val="center"/>
              <w:rPr>
                <w:rFonts w:hint="eastAsia" w:hAnsi="suzhouFont" w:cs="宋体"/>
                <w:szCs w:val="21"/>
              </w:rPr>
            </w:pPr>
          </w:p>
        </w:tc>
        <w:tc>
          <w:tcPr>
            <w:tcW w:w="2835" w:type="dxa"/>
            <w:vMerge w:val="continue"/>
            <w:vAlign w:val="center"/>
          </w:tcPr>
          <w:p>
            <w:pPr>
              <w:widowControl/>
              <w:spacing w:before="75" w:after="75"/>
              <w:jc w:val="center"/>
              <w:rPr>
                <w:rFonts w:hint="eastAsia" w:hAnsi="suzhouFont" w:cs="宋体"/>
                <w:szCs w:val="21"/>
              </w:rPr>
            </w:pPr>
          </w:p>
        </w:tc>
        <w:tc>
          <w:tcPr>
            <w:tcW w:w="2693" w:type="dxa"/>
            <w:vAlign w:val="center"/>
          </w:tcPr>
          <w:p>
            <w:pPr>
              <w:widowControl/>
              <w:spacing w:before="75" w:after="75"/>
              <w:jc w:val="center"/>
              <w:rPr>
                <w:rFonts w:hint="eastAsia" w:hAnsi="suzhouFont" w:cs="宋体"/>
                <w:szCs w:val="21"/>
              </w:rPr>
            </w:pPr>
            <w:r>
              <w:rPr>
                <w:rFonts w:hint="eastAsia" w:hAnsi="suzhouFont" w:cs="宋体"/>
                <w:szCs w:val="21"/>
              </w:rPr>
              <w:t>有效期</w:t>
            </w:r>
          </w:p>
        </w:tc>
        <w:tc>
          <w:tcPr>
            <w:tcW w:w="1497" w:type="dxa"/>
            <w:vAlign w:val="center"/>
          </w:tcPr>
          <w:p>
            <w:pPr>
              <w:adjustRightInd w:val="0"/>
              <w:snapToGrid w:val="0"/>
              <w:spacing w:line="360" w:lineRule="auto"/>
              <w:jc w:val="center"/>
              <w:textAlignment w:val="center"/>
              <w:rPr>
                <w:rFonts w:ascii="宋体" w:hAnsi="宋体"/>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1290" w:type="dxa"/>
            <w:vMerge w:val="continue"/>
            <w:vAlign w:val="center"/>
          </w:tcPr>
          <w:p>
            <w:pPr>
              <w:widowControl/>
              <w:spacing w:before="75" w:after="75"/>
              <w:jc w:val="center"/>
              <w:rPr>
                <w:rFonts w:hint="eastAsia" w:hAnsi="suzhouFont" w:cs="宋体"/>
                <w:szCs w:val="21"/>
              </w:rPr>
            </w:pPr>
          </w:p>
        </w:tc>
        <w:tc>
          <w:tcPr>
            <w:tcW w:w="2835" w:type="dxa"/>
            <w:vMerge w:val="continue"/>
            <w:vAlign w:val="center"/>
          </w:tcPr>
          <w:p>
            <w:pPr>
              <w:widowControl/>
              <w:spacing w:before="75" w:after="75"/>
              <w:jc w:val="center"/>
              <w:rPr>
                <w:rFonts w:hint="eastAsia" w:hAnsi="suzhouFont" w:cs="宋体"/>
                <w:szCs w:val="21"/>
              </w:rPr>
            </w:pPr>
          </w:p>
        </w:tc>
        <w:tc>
          <w:tcPr>
            <w:tcW w:w="2693" w:type="dxa"/>
            <w:vAlign w:val="center"/>
          </w:tcPr>
          <w:p>
            <w:pPr>
              <w:widowControl/>
              <w:spacing w:before="75" w:after="75"/>
              <w:jc w:val="center"/>
              <w:rPr>
                <w:rFonts w:hint="eastAsia" w:hAnsi="suzhouFont" w:cs="宋体"/>
                <w:szCs w:val="21"/>
              </w:rPr>
            </w:pPr>
            <w:r>
              <w:rPr>
                <w:rFonts w:hint="eastAsia" w:hAnsi="suzhouFont" w:cs="宋体"/>
                <w:szCs w:val="21"/>
              </w:rPr>
              <w:t>标准器状况</w:t>
            </w:r>
          </w:p>
        </w:tc>
        <w:tc>
          <w:tcPr>
            <w:tcW w:w="1497" w:type="dxa"/>
            <w:vAlign w:val="center"/>
          </w:tcPr>
          <w:p>
            <w:pPr>
              <w:adjustRightInd w:val="0"/>
              <w:snapToGrid w:val="0"/>
              <w:spacing w:line="360" w:lineRule="auto"/>
              <w:jc w:val="center"/>
              <w:textAlignment w:val="center"/>
              <w:rPr>
                <w:rFonts w:ascii="宋体" w:hAnsi="宋体"/>
              </w:rPr>
            </w:pPr>
          </w:p>
        </w:tc>
      </w:tr>
    </w:tbl>
    <w:p>
      <w:pPr>
        <w:widowControl/>
        <w:spacing w:before="75" w:after="75"/>
        <w:rPr>
          <w:rFonts w:cs="宋体"/>
          <w:sz w:val="24"/>
        </w:rPr>
      </w:pPr>
      <w:r>
        <w:rPr>
          <w:rFonts w:hint="eastAsia"/>
          <w:sz w:val="24"/>
        </w:rPr>
        <w:t>1.幅值示值误差（加速度峰值）</w:t>
      </w:r>
      <w:r>
        <w:rPr>
          <w:rFonts w:hAnsi="suzhouFont" w:cs="宋体"/>
          <w:sz w:val="24"/>
        </w:rPr>
        <w:t>：</w:t>
      </w:r>
    </w:p>
    <w:tbl>
      <w:tblPr>
        <w:tblStyle w:val="9"/>
        <w:tblW w:w="4998" w:type="pct"/>
        <w:tblInd w:w="0" w:type="dxa"/>
        <w:tblLayout w:type="autofit"/>
        <w:tblCellMar>
          <w:top w:w="0" w:type="dxa"/>
          <w:left w:w="0" w:type="dxa"/>
          <w:bottom w:w="0" w:type="dxa"/>
          <w:right w:w="0" w:type="dxa"/>
        </w:tblCellMar>
      </w:tblPr>
      <w:tblGrid>
        <w:gridCol w:w="995"/>
        <w:gridCol w:w="1251"/>
        <w:gridCol w:w="1181"/>
        <w:gridCol w:w="1251"/>
        <w:gridCol w:w="3645"/>
      </w:tblGrid>
      <w:tr>
        <w:tblPrEx>
          <w:tblCellMar>
            <w:top w:w="0" w:type="dxa"/>
            <w:left w:w="0" w:type="dxa"/>
            <w:bottom w:w="0" w:type="dxa"/>
            <w:right w:w="0" w:type="dxa"/>
          </w:tblCellMar>
        </w:tblPrEx>
        <w:tc>
          <w:tcPr>
            <w:tcW w:w="59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Cs w:val="21"/>
              </w:rPr>
            </w:pPr>
            <w:r>
              <w:rPr>
                <w:rFonts w:hint="eastAsia" w:ascii="宋体" w:hAnsi="宋体" w:cs="宋体"/>
                <w:color w:val="000000"/>
                <w:kern w:val="0"/>
                <w:szCs w:val="21"/>
              </w:rPr>
              <w:t>标准</w:t>
            </w:r>
            <w:r>
              <w:rPr>
                <w:rFonts w:hAnsi="suzhouFont" w:cs="宋体"/>
                <w:szCs w:val="21"/>
              </w:rPr>
              <w:t>频率</w:t>
            </w:r>
          </w:p>
          <w:p>
            <w:pPr>
              <w:widowControl/>
              <w:spacing w:before="75" w:after="75"/>
              <w:jc w:val="center"/>
              <w:rPr>
                <w:rFonts w:cs="宋体"/>
                <w:szCs w:val="21"/>
              </w:rPr>
            </w:pPr>
            <w:r>
              <w:rPr>
                <w:rFonts w:hint="eastAsia" w:hAnsi="suzhouFont" w:cs="宋体"/>
                <w:szCs w:val="21"/>
              </w:rPr>
              <w:t>（</w:t>
            </w:r>
            <w:r>
              <w:rPr>
                <w:rFonts w:hint="eastAsia" w:cs="宋体"/>
                <w:szCs w:val="21"/>
              </w:rPr>
              <w:t>Hz</w:t>
            </w:r>
            <w:r>
              <w:rPr>
                <w:rFonts w:hint="eastAsia" w:hAnsi="suzhouFont" w:cs="宋体"/>
                <w:szCs w:val="21"/>
              </w:rPr>
              <w:t>）</w:t>
            </w: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Cs w:val="21"/>
              </w:rPr>
            </w:pPr>
            <w:r>
              <w:rPr>
                <w:rFonts w:hint="eastAsia" w:hAnsi="suzhouFont" w:cs="宋体"/>
                <w:szCs w:val="21"/>
              </w:rPr>
              <w:t>标准幅</w:t>
            </w:r>
            <w:r>
              <w:rPr>
                <w:rFonts w:hAnsi="suzhouFont" w:cs="宋体"/>
                <w:szCs w:val="21"/>
              </w:rPr>
              <w:t>值</w:t>
            </w:r>
          </w:p>
          <w:p>
            <w:pPr>
              <w:widowControl/>
              <w:spacing w:before="75" w:after="75"/>
              <w:jc w:val="center"/>
              <w:rPr>
                <w:rFonts w:cs="宋体"/>
                <w:szCs w:val="21"/>
              </w:rPr>
            </w:pPr>
            <w:r>
              <w:rPr>
                <w:rFonts w:hint="eastAsia" w:hAnsi="suzhouFont" w:cs="宋体"/>
                <w:szCs w:val="21"/>
              </w:rPr>
              <w:t>（</w:t>
            </w:r>
            <w:r>
              <w:rPr>
                <w:rFonts w:cs="宋体"/>
                <w:szCs w:val="21"/>
              </w:rPr>
              <w:t>m/s</w:t>
            </w:r>
            <w:r>
              <w:rPr>
                <w:rFonts w:cs="宋体"/>
                <w:szCs w:val="21"/>
                <w:vertAlign w:val="superscript"/>
              </w:rPr>
              <w:t>2</w:t>
            </w:r>
            <w:r>
              <w:rPr>
                <w:rFonts w:hint="eastAsia" w:hAnsi="suzhouFont" w:cs="宋体"/>
                <w:szCs w:val="21"/>
              </w:rPr>
              <w:t>）</w:t>
            </w:r>
          </w:p>
        </w:tc>
        <w:tc>
          <w:tcPr>
            <w:tcW w:w="70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Cs w:val="21"/>
              </w:rPr>
            </w:pPr>
            <w:r>
              <w:rPr>
                <w:rFonts w:hint="eastAsia" w:hAnsi="suzhouFont" w:cs="宋体"/>
                <w:szCs w:val="21"/>
              </w:rPr>
              <w:t>示值</w:t>
            </w:r>
          </w:p>
          <w:p>
            <w:pPr>
              <w:widowControl/>
              <w:spacing w:before="75" w:after="75"/>
              <w:jc w:val="center"/>
              <w:rPr>
                <w:rFonts w:cs="宋体"/>
                <w:szCs w:val="21"/>
              </w:rPr>
            </w:pPr>
            <w:r>
              <w:rPr>
                <w:rFonts w:hint="eastAsia" w:hAnsi="suzhouFont" w:cs="宋体"/>
                <w:szCs w:val="21"/>
              </w:rPr>
              <w:t>（</w:t>
            </w:r>
            <w:r>
              <w:rPr>
                <w:rFonts w:cs="宋体"/>
                <w:szCs w:val="21"/>
              </w:rPr>
              <w:t>m/s</w:t>
            </w:r>
            <w:r>
              <w:rPr>
                <w:rFonts w:cs="宋体"/>
                <w:szCs w:val="21"/>
                <w:vertAlign w:val="superscript"/>
              </w:rPr>
              <w:t>2</w:t>
            </w:r>
            <w:r>
              <w:rPr>
                <w:rFonts w:hint="eastAsia" w:hAnsi="suzhouFont" w:cs="宋体"/>
                <w:szCs w:val="21"/>
              </w:rPr>
              <w:t>）</w:t>
            </w: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Cs w:val="21"/>
              </w:rPr>
            </w:pPr>
            <w:r>
              <w:rPr>
                <w:rFonts w:hint="eastAsia" w:hAnsi="suzhouFont" w:cs="宋体"/>
                <w:szCs w:val="21"/>
              </w:rPr>
              <w:t>相对误差</w:t>
            </w:r>
          </w:p>
          <w:p>
            <w:pPr>
              <w:widowControl/>
              <w:spacing w:before="75" w:after="75"/>
              <w:jc w:val="center"/>
              <w:rPr>
                <w:rFonts w:cs="宋体"/>
                <w:szCs w:val="21"/>
              </w:rPr>
            </w:pPr>
            <w:r>
              <w:rPr>
                <w:rFonts w:hint="eastAsia" w:hAnsi="suzhouFont" w:cs="宋体"/>
                <w:szCs w:val="21"/>
              </w:rPr>
              <w:t>（</w:t>
            </w:r>
            <w:r>
              <w:rPr>
                <w:rFonts w:hint="eastAsia" w:cs="宋体"/>
                <w:szCs w:val="21"/>
              </w:rPr>
              <w:t>%</w:t>
            </w:r>
            <w:r>
              <w:rPr>
                <w:rFonts w:hint="eastAsia" w:hAnsi="suzhouFont" w:cs="宋体"/>
                <w:szCs w:val="21"/>
              </w:rPr>
              <w:t>）</w:t>
            </w:r>
          </w:p>
        </w:tc>
        <w:tc>
          <w:tcPr>
            <w:tcW w:w="21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hint="eastAsia" w:hAnsi="suzhouFont" w:cs="宋体"/>
                <w:szCs w:val="21"/>
              </w:rPr>
            </w:pPr>
            <w:r>
              <w:rPr>
                <w:rFonts w:hint="eastAsia" w:hAnsi="suzhouFont" w:cs="宋体"/>
                <w:szCs w:val="21"/>
              </w:rPr>
              <w:t>相对扩展不确定度</w:t>
            </w:r>
            <w:r>
              <w:rPr>
                <w:rFonts w:hint="eastAsia" w:hAnsi="suzhouFont" w:cs="宋体"/>
                <w:i/>
                <w:iCs/>
                <w:szCs w:val="21"/>
              </w:rPr>
              <w:t>U</w:t>
            </w:r>
            <w:r>
              <w:rPr>
                <w:rFonts w:hint="eastAsia" w:hAnsi="suzhouFont" w:cs="宋体"/>
                <w:szCs w:val="21"/>
                <w:vertAlign w:val="subscript"/>
              </w:rPr>
              <w:t>rel</w:t>
            </w:r>
            <w:r>
              <w:rPr>
                <w:rFonts w:hint="eastAsia" w:hAnsi="suzhouFont" w:cs="宋体"/>
                <w:szCs w:val="21"/>
              </w:rPr>
              <w:t>(</w:t>
            </w:r>
            <w:r>
              <w:rPr>
                <w:rFonts w:hint="eastAsia" w:hAnsi="suzhouFont" w:cs="宋体"/>
                <w:i/>
                <w:iCs/>
                <w:szCs w:val="21"/>
              </w:rPr>
              <w:t>k</w:t>
            </w:r>
            <w:r>
              <w:rPr>
                <w:rFonts w:hint="eastAsia" w:hAnsi="suzhouFont" w:cs="宋体"/>
                <w:szCs w:val="21"/>
              </w:rPr>
              <w:t>=2)</w:t>
            </w:r>
          </w:p>
          <w:p>
            <w:pPr>
              <w:widowControl/>
              <w:spacing w:before="75" w:after="75"/>
              <w:jc w:val="center"/>
              <w:rPr>
                <w:rFonts w:hint="eastAsia" w:hAnsi="suzhouFont" w:cs="宋体"/>
                <w:szCs w:val="21"/>
              </w:rPr>
            </w:pPr>
            <w:r>
              <w:rPr>
                <w:rFonts w:hint="eastAsia" w:hAnsi="suzhouFont" w:cs="宋体"/>
                <w:szCs w:val="21"/>
              </w:rPr>
              <w:t>%</w:t>
            </w:r>
          </w:p>
        </w:tc>
      </w:tr>
      <w:tr>
        <w:tblPrEx>
          <w:tblCellMar>
            <w:top w:w="0" w:type="dxa"/>
            <w:left w:w="0" w:type="dxa"/>
            <w:bottom w:w="0" w:type="dxa"/>
            <w:right w:w="0" w:type="dxa"/>
          </w:tblCellMar>
        </w:tblPrEx>
        <w:tc>
          <w:tcPr>
            <w:tcW w:w="59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0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21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r>
        <w:tblPrEx>
          <w:tblCellMar>
            <w:top w:w="0" w:type="dxa"/>
            <w:left w:w="0" w:type="dxa"/>
            <w:bottom w:w="0" w:type="dxa"/>
            <w:right w:w="0" w:type="dxa"/>
          </w:tblCellMar>
        </w:tblPrEx>
        <w:tc>
          <w:tcPr>
            <w:tcW w:w="59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0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21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r>
        <w:tblPrEx>
          <w:tblCellMar>
            <w:top w:w="0" w:type="dxa"/>
            <w:left w:w="0" w:type="dxa"/>
            <w:bottom w:w="0" w:type="dxa"/>
            <w:right w:w="0" w:type="dxa"/>
          </w:tblCellMar>
        </w:tblPrEx>
        <w:tc>
          <w:tcPr>
            <w:tcW w:w="59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0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21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r>
        <w:tblPrEx>
          <w:tblCellMar>
            <w:top w:w="0" w:type="dxa"/>
            <w:left w:w="0" w:type="dxa"/>
            <w:bottom w:w="0" w:type="dxa"/>
            <w:right w:w="0" w:type="dxa"/>
          </w:tblCellMar>
        </w:tblPrEx>
        <w:tc>
          <w:tcPr>
            <w:tcW w:w="59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0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21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r>
        <w:tblPrEx>
          <w:tblCellMar>
            <w:top w:w="0" w:type="dxa"/>
            <w:left w:w="0" w:type="dxa"/>
            <w:bottom w:w="0" w:type="dxa"/>
            <w:right w:w="0" w:type="dxa"/>
          </w:tblCellMar>
        </w:tblPrEx>
        <w:tc>
          <w:tcPr>
            <w:tcW w:w="59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0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21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r>
        <w:tblPrEx>
          <w:tblCellMar>
            <w:top w:w="0" w:type="dxa"/>
            <w:left w:w="0" w:type="dxa"/>
            <w:bottom w:w="0" w:type="dxa"/>
            <w:right w:w="0" w:type="dxa"/>
          </w:tblCellMar>
        </w:tblPrEx>
        <w:tc>
          <w:tcPr>
            <w:tcW w:w="59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0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21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r>
        <w:tblPrEx>
          <w:tblCellMar>
            <w:top w:w="0" w:type="dxa"/>
            <w:left w:w="0" w:type="dxa"/>
            <w:bottom w:w="0" w:type="dxa"/>
            <w:right w:w="0" w:type="dxa"/>
          </w:tblCellMar>
        </w:tblPrEx>
        <w:tc>
          <w:tcPr>
            <w:tcW w:w="59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0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75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c>
          <w:tcPr>
            <w:tcW w:w="21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bl>
    <w:p>
      <w:pPr>
        <w:widowControl/>
        <w:spacing w:before="75" w:after="75"/>
        <w:rPr>
          <w:rFonts w:hint="eastAsia" w:hAnsi="suzhouFont" w:cs="宋体"/>
          <w:sz w:val="24"/>
        </w:rPr>
      </w:pPr>
      <w:r>
        <w:rPr>
          <w:rFonts w:hint="eastAsia"/>
          <w:sz w:val="24"/>
        </w:rPr>
        <w:t>幅值示值误差（速度峰值）</w:t>
      </w:r>
      <w:r>
        <w:rPr>
          <w:rFonts w:hAnsi="suzhouFont" w:cs="宋体"/>
          <w:sz w:val="24"/>
        </w:rPr>
        <w:t>：</w:t>
      </w:r>
    </w:p>
    <w:tbl>
      <w:tblPr>
        <w:tblStyle w:val="9"/>
        <w:tblW w:w="5006" w:type="pct"/>
        <w:tblInd w:w="0" w:type="dxa"/>
        <w:tblLayout w:type="autofit"/>
        <w:tblCellMar>
          <w:top w:w="0" w:type="dxa"/>
          <w:left w:w="0" w:type="dxa"/>
          <w:bottom w:w="0" w:type="dxa"/>
          <w:right w:w="0" w:type="dxa"/>
        </w:tblCellMar>
      </w:tblPr>
      <w:tblGrid>
        <w:gridCol w:w="982"/>
        <w:gridCol w:w="1251"/>
        <w:gridCol w:w="1214"/>
        <w:gridCol w:w="1251"/>
        <w:gridCol w:w="3638"/>
      </w:tblGrid>
      <w:tr>
        <w:tblPrEx>
          <w:tblCellMar>
            <w:top w:w="0" w:type="dxa"/>
            <w:left w:w="0" w:type="dxa"/>
            <w:bottom w:w="0" w:type="dxa"/>
            <w:right w:w="0" w:type="dxa"/>
          </w:tblCellMar>
        </w:tblPrEx>
        <w:tc>
          <w:tcPr>
            <w:tcW w:w="5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r>
              <w:rPr>
                <w:rFonts w:hint="eastAsia" w:ascii="宋体" w:hAnsi="宋体" w:cs="宋体"/>
                <w:color w:val="000000"/>
                <w:kern w:val="0"/>
                <w:szCs w:val="21"/>
              </w:rPr>
              <w:t>标准</w:t>
            </w:r>
            <w:r>
              <w:rPr>
                <w:rFonts w:hAnsi="suzhouFont" w:cs="宋体"/>
              </w:rPr>
              <w:t>频率</w:t>
            </w:r>
          </w:p>
          <w:p>
            <w:pPr>
              <w:widowControl/>
              <w:spacing w:before="75" w:after="75"/>
              <w:jc w:val="center"/>
              <w:rPr>
                <w:rFonts w:cs="宋体"/>
              </w:rPr>
            </w:pPr>
            <w:r>
              <w:rPr>
                <w:rFonts w:hint="eastAsia" w:hAnsi="suzhouFont" w:cs="宋体"/>
              </w:rPr>
              <w:t>（</w:t>
            </w:r>
            <w:r>
              <w:rPr>
                <w:rFonts w:hint="eastAsia" w:cs="宋体"/>
              </w:rPr>
              <w:t>Hz</w:t>
            </w:r>
            <w:r>
              <w:rPr>
                <w:rFonts w:hint="eastAsia" w:hAnsi="suzhouFont" w:cs="宋体"/>
              </w:rPr>
              <w:t>）</w:t>
            </w: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Cs w:val="21"/>
              </w:rPr>
            </w:pPr>
            <w:r>
              <w:rPr>
                <w:rFonts w:hint="eastAsia" w:hAnsi="suzhouFont" w:cs="宋体"/>
                <w:szCs w:val="21"/>
              </w:rPr>
              <w:t>标准幅</w:t>
            </w:r>
            <w:r>
              <w:rPr>
                <w:rFonts w:hAnsi="suzhouFont" w:cs="宋体"/>
                <w:szCs w:val="21"/>
              </w:rPr>
              <w:t>值</w:t>
            </w:r>
          </w:p>
          <w:p>
            <w:pPr>
              <w:widowControl/>
              <w:spacing w:before="75" w:after="75"/>
              <w:jc w:val="center"/>
              <w:rPr>
                <w:rFonts w:cs="宋体"/>
              </w:rPr>
            </w:pPr>
            <w:r>
              <w:rPr>
                <w:rFonts w:hint="eastAsia" w:hAnsi="suzhouFont" w:cs="宋体"/>
              </w:rPr>
              <w:t>（</w:t>
            </w:r>
            <w:r>
              <w:rPr>
                <w:rFonts w:hint="eastAsia" w:cs="宋体"/>
              </w:rPr>
              <w:t>m</w:t>
            </w:r>
            <w:r>
              <w:rPr>
                <w:rFonts w:cs="宋体"/>
              </w:rPr>
              <w:t>m/s</w:t>
            </w:r>
            <w:r>
              <w:rPr>
                <w:rFonts w:hint="eastAsia" w:hAnsi="suzhouFont" w:cs="宋体"/>
              </w:rPr>
              <w:t>）</w:t>
            </w:r>
          </w:p>
        </w:tc>
        <w:tc>
          <w:tcPr>
            <w:tcW w:w="72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r>
              <w:rPr>
                <w:rFonts w:hint="eastAsia" w:hAnsi="suzhouFont" w:cs="宋体"/>
              </w:rPr>
              <w:t>示值</w:t>
            </w:r>
          </w:p>
          <w:p>
            <w:pPr>
              <w:widowControl/>
              <w:spacing w:before="75" w:after="75"/>
              <w:jc w:val="center"/>
              <w:rPr>
                <w:rFonts w:cs="宋体"/>
              </w:rPr>
            </w:pPr>
            <w:r>
              <w:rPr>
                <w:rFonts w:hint="eastAsia" w:hAnsi="suzhouFont" w:cs="宋体"/>
              </w:rPr>
              <w:t>（</w:t>
            </w:r>
            <w:r>
              <w:rPr>
                <w:rFonts w:hint="eastAsia" w:cs="宋体"/>
              </w:rPr>
              <w:t>m</w:t>
            </w:r>
            <w:r>
              <w:rPr>
                <w:rFonts w:cs="宋体"/>
              </w:rPr>
              <w:t>m/s</w:t>
            </w:r>
            <w:r>
              <w:rPr>
                <w:rFonts w:hint="eastAsia" w:hAnsi="suzhouFont" w:cs="宋体"/>
              </w:rPr>
              <w:t>）</w:t>
            </w: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r>
              <w:rPr>
                <w:rFonts w:hint="eastAsia" w:hAnsi="suzhouFont" w:cs="宋体"/>
              </w:rPr>
              <w:t>相对误差</w:t>
            </w:r>
          </w:p>
          <w:p>
            <w:pPr>
              <w:widowControl/>
              <w:spacing w:before="75" w:after="75"/>
              <w:jc w:val="center"/>
              <w:rPr>
                <w:rFonts w:cs="宋体"/>
              </w:rPr>
            </w:pPr>
            <w:r>
              <w:rPr>
                <w:rFonts w:hint="eastAsia" w:hAnsi="suzhouFont" w:cs="宋体"/>
              </w:rPr>
              <w:t>（</w:t>
            </w:r>
            <w:r>
              <w:rPr>
                <w:rFonts w:hint="eastAsia" w:cs="宋体"/>
              </w:rPr>
              <w:t>%</w:t>
            </w:r>
            <w:r>
              <w:rPr>
                <w:rFonts w:hint="eastAsia" w:hAnsi="suzhouFont" w:cs="宋体"/>
              </w:rPr>
              <w:t>）</w:t>
            </w:r>
          </w:p>
        </w:tc>
        <w:tc>
          <w:tcPr>
            <w:tcW w:w="218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hint="eastAsia" w:hAnsi="suzhouFont" w:cs="宋体"/>
                <w:szCs w:val="21"/>
              </w:rPr>
            </w:pPr>
            <w:r>
              <w:rPr>
                <w:rFonts w:hint="eastAsia" w:hAnsi="suzhouFont" w:cs="宋体"/>
                <w:szCs w:val="21"/>
              </w:rPr>
              <w:t>相对扩展不确定度</w:t>
            </w:r>
            <w:r>
              <w:rPr>
                <w:rFonts w:hint="eastAsia" w:hAnsi="suzhouFont" w:cs="宋体"/>
                <w:i/>
                <w:iCs/>
                <w:szCs w:val="21"/>
              </w:rPr>
              <w:t>U</w:t>
            </w:r>
            <w:r>
              <w:rPr>
                <w:rFonts w:hint="eastAsia" w:hAnsi="suzhouFont" w:cs="宋体"/>
                <w:szCs w:val="21"/>
                <w:vertAlign w:val="subscript"/>
              </w:rPr>
              <w:t>rel</w:t>
            </w:r>
            <w:r>
              <w:rPr>
                <w:rFonts w:hint="eastAsia" w:hAnsi="suzhouFont" w:cs="宋体"/>
                <w:szCs w:val="21"/>
              </w:rPr>
              <w:t>(</w:t>
            </w:r>
            <w:r>
              <w:rPr>
                <w:rFonts w:hint="eastAsia" w:hAnsi="suzhouFont" w:cs="宋体"/>
                <w:i/>
                <w:iCs/>
                <w:szCs w:val="21"/>
              </w:rPr>
              <w:t>k</w:t>
            </w:r>
            <w:r>
              <w:rPr>
                <w:rFonts w:hint="eastAsia" w:hAnsi="suzhouFont" w:cs="宋体"/>
                <w:szCs w:val="21"/>
              </w:rPr>
              <w:t>=2)</w:t>
            </w:r>
          </w:p>
          <w:p>
            <w:pPr>
              <w:widowControl/>
              <w:spacing w:before="75" w:after="75"/>
              <w:jc w:val="center"/>
              <w:rPr>
                <w:rFonts w:cs="宋体"/>
                <w:sz w:val="24"/>
              </w:rPr>
            </w:pPr>
            <w:r>
              <w:rPr>
                <w:rFonts w:hint="eastAsia" w:hAnsi="suzhouFont" w:cs="宋体"/>
                <w:szCs w:val="21"/>
              </w:rPr>
              <w:t>%</w:t>
            </w:r>
          </w:p>
        </w:tc>
      </w:tr>
      <w:tr>
        <w:tblPrEx>
          <w:tblCellMar>
            <w:top w:w="0" w:type="dxa"/>
            <w:left w:w="0" w:type="dxa"/>
            <w:bottom w:w="0" w:type="dxa"/>
            <w:right w:w="0" w:type="dxa"/>
          </w:tblCellMar>
        </w:tblPrEx>
        <w:tc>
          <w:tcPr>
            <w:tcW w:w="5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2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218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r>
        <w:tblPrEx>
          <w:tblCellMar>
            <w:top w:w="0" w:type="dxa"/>
            <w:left w:w="0" w:type="dxa"/>
            <w:bottom w:w="0" w:type="dxa"/>
            <w:right w:w="0" w:type="dxa"/>
          </w:tblCellMar>
        </w:tblPrEx>
        <w:tc>
          <w:tcPr>
            <w:tcW w:w="5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2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218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r>
        <w:tblPrEx>
          <w:tblCellMar>
            <w:top w:w="0" w:type="dxa"/>
            <w:left w:w="0" w:type="dxa"/>
            <w:bottom w:w="0" w:type="dxa"/>
            <w:right w:w="0" w:type="dxa"/>
          </w:tblCellMar>
        </w:tblPrEx>
        <w:tc>
          <w:tcPr>
            <w:tcW w:w="5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2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218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r>
        <w:tblPrEx>
          <w:tblCellMar>
            <w:top w:w="0" w:type="dxa"/>
            <w:left w:w="0" w:type="dxa"/>
            <w:bottom w:w="0" w:type="dxa"/>
            <w:right w:w="0" w:type="dxa"/>
          </w:tblCellMar>
        </w:tblPrEx>
        <w:tc>
          <w:tcPr>
            <w:tcW w:w="5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2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218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r>
        <w:tblPrEx>
          <w:tblCellMar>
            <w:top w:w="0" w:type="dxa"/>
            <w:left w:w="0" w:type="dxa"/>
            <w:bottom w:w="0" w:type="dxa"/>
            <w:right w:w="0" w:type="dxa"/>
          </w:tblCellMar>
        </w:tblPrEx>
        <w:tc>
          <w:tcPr>
            <w:tcW w:w="5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2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218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r>
        <w:tblPrEx>
          <w:tblCellMar>
            <w:top w:w="0" w:type="dxa"/>
            <w:left w:w="0" w:type="dxa"/>
            <w:bottom w:w="0" w:type="dxa"/>
            <w:right w:w="0" w:type="dxa"/>
          </w:tblCellMar>
        </w:tblPrEx>
        <w:tc>
          <w:tcPr>
            <w:tcW w:w="5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2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218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r>
        <w:tblPrEx>
          <w:tblCellMar>
            <w:top w:w="0" w:type="dxa"/>
            <w:left w:w="0" w:type="dxa"/>
            <w:bottom w:w="0" w:type="dxa"/>
            <w:right w:w="0" w:type="dxa"/>
          </w:tblCellMar>
        </w:tblPrEx>
        <w:tc>
          <w:tcPr>
            <w:tcW w:w="5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28"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750"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p>
        </w:tc>
        <w:tc>
          <w:tcPr>
            <w:tcW w:w="2181"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sz w:val="24"/>
              </w:rPr>
            </w:pPr>
          </w:p>
        </w:tc>
      </w:tr>
    </w:tbl>
    <w:p>
      <w:pPr>
        <w:widowControl/>
        <w:spacing w:before="75" w:after="75"/>
        <w:rPr>
          <w:rFonts w:cs="宋体"/>
          <w:sz w:val="24"/>
        </w:rPr>
      </w:pPr>
      <w:r>
        <w:rPr>
          <w:rFonts w:hint="eastAsia" w:cs="宋体"/>
          <w:sz w:val="24"/>
        </w:rPr>
        <w:t>2.</w:t>
      </w:r>
      <w:r>
        <w:rPr>
          <w:rFonts w:hint="eastAsia" w:hAnsi="suzhouFont" w:cs="宋体"/>
          <w:sz w:val="24"/>
        </w:rPr>
        <w:t>幅值线性度：频率为</w:t>
      </w:r>
      <w:r>
        <w:rPr>
          <w:rFonts w:hint="eastAsia" w:cs="宋体"/>
          <w:sz w:val="24"/>
        </w:rPr>
        <w:t>8.0Hz</w:t>
      </w:r>
    </w:p>
    <w:tbl>
      <w:tblPr>
        <w:tblStyle w:val="9"/>
        <w:tblW w:w="5021" w:type="pct"/>
        <w:tblInd w:w="0" w:type="dxa"/>
        <w:tblLayout w:type="autofit"/>
        <w:tblCellMar>
          <w:top w:w="0" w:type="dxa"/>
          <w:left w:w="0" w:type="dxa"/>
          <w:bottom w:w="0" w:type="dxa"/>
          <w:right w:w="0" w:type="dxa"/>
        </w:tblCellMar>
      </w:tblPr>
      <w:tblGrid>
        <w:gridCol w:w="986"/>
        <w:gridCol w:w="1258"/>
        <w:gridCol w:w="1216"/>
        <w:gridCol w:w="1262"/>
        <w:gridCol w:w="3639"/>
      </w:tblGrid>
      <w:tr>
        <w:tblPrEx>
          <w:tblCellMar>
            <w:top w:w="0" w:type="dxa"/>
            <w:left w:w="0" w:type="dxa"/>
            <w:bottom w:w="0" w:type="dxa"/>
            <w:right w:w="0" w:type="dxa"/>
          </w:tblCellMar>
        </w:tblPrEx>
        <w:tc>
          <w:tcPr>
            <w:tcW w:w="589"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r>
              <w:rPr>
                <w:rFonts w:hint="eastAsia" w:ascii="宋体" w:hAnsi="宋体" w:cs="宋体"/>
                <w:color w:val="000000"/>
                <w:kern w:val="0"/>
                <w:szCs w:val="21"/>
              </w:rPr>
              <w:t>标准</w:t>
            </w:r>
            <w:r>
              <w:rPr>
                <w:rFonts w:hAnsi="suzhouFont" w:cs="宋体"/>
              </w:rPr>
              <w:t>频率</w:t>
            </w:r>
          </w:p>
          <w:p>
            <w:pPr>
              <w:widowControl/>
              <w:spacing w:before="75" w:after="75"/>
              <w:jc w:val="center"/>
              <w:rPr>
                <w:rFonts w:cs="宋体"/>
              </w:rPr>
            </w:pPr>
            <w:r>
              <w:rPr>
                <w:rFonts w:hint="eastAsia" w:hAnsi="suzhouFont" w:cs="宋体"/>
              </w:rPr>
              <w:t>（</w:t>
            </w:r>
            <w:r>
              <w:rPr>
                <w:rFonts w:hint="eastAsia" w:cs="宋体"/>
              </w:rPr>
              <w:t>Hz</w:t>
            </w:r>
            <w:r>
              <w:rPr>
                <w:rFonts w:hint="eastAsia" w:hAnsi="suzhouFont" w:cs="宋体"/>
              </w:rPr>
              <w:t>）</w:t>
            </w:r>
          </w:p>
        </w:tc>
        <w:tc>
          <w:tcPr>
            <w:tcW w:w="752"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r>
              <w:rPr>
                <w:rFonts w:hint="eastAsia" w:hAnsi="suzhouFont" w:cs="宋体"/>
              </w:rPr>
              <w:t>标准幅</w:t>
            </w:r>
            <w:r>
              <w:rPr>
                <w:rFonts w:hAnsi="suzhouFont" w:cs="宋体"/>
              </w:rPr>
              <w:t>值</w:t>
            </w:r>
          </w:p>
          <w:p>
            <w:pPr>
              <w:widowControl/>
              <w:spacing w:before="75" w:after="75"/>
              <w:jc w:val="center"/>
              <w:rPr>
                <w:rFonts w:cs="宋体"/>
              </w:rPr>
            </w:pPr>
            <w:r>
              <w:rPr>
                <w:rFonts w:hint="eastAsia" w:hAnsi="suzhouFont" w:cs="宋体"/>
              </w:rPr>
              <w:t>（</w:t>
            </w:r>
            <w:r>
              <w:rPr>
                <w:rFonts w:cs="宋体"/>
              </w:rPr>
              <w:t>m/s</w:t>
            </w:r>
            <w:r>
              <w:rPr>
                <w:rFonts w:cs="宋体"/>
                <w:vertAlign w:val="superscript"/>
              </w:rPr>
              <w:t>2</w:t>
            </w:r>
            <w:r>
              <w:rPr>
                <w:rFonts w:hint="eastAsia" w:hAnsi="suzhouFont" w:cs="宋体"/>
              </w:rPr>
              <w:t>）</w:t>
            </w:r>
          </w:p>
        </w:tc>
        <w:tc>
          <w:tcPr>
            <w:tcW w:w="727"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r>
              <w:rPr>
                <w:rFonts w:hint="eastAsia" w:hAnsi="suzhouFont" w:cs="宋体"/>
              </w:rPr>
              <w:t>示值</w:t>
            </w:r>
          </w:p>
          <w:p>
            <w:pPr>
              <w:widowControl/>
              <w:spacing w:before="75" w:after="75"/>
              <w:jc w:val="center"/>
              <w:rPr>
                <w:rFonts w:cs="宋体"/>
              </w:rPr>
            </w:pPr>
            <w:r>
              <w:rPr>
                <w:rFonts w:hint="eastAsia" w:hAnsi="suzhouFont" w:cs="宋体"/>
              </w:rPr>
              <w:t>（</w:t>
            </w:r>
            <w:r>
              <w:rPr>
                <w:rFonts w:cs="宋体"/>
              </w:rPr>
              <w:t>m/s</w:t>
            </w:r>
            <w:r>
              <w:rPr>
                <w:rFonts w:cs="宋体"/>
                <w:vertAlign w:val="superscript"/>
              </w:rPr>
              <w:t>2</w:t>
            </w:r>
            <w:r>
              <w:rPr>
                <w:rFonts w:hint="eastAsia" w:hAnsi="suzhouFont" w:cs="宋体"/>
              </w:rPr>
              <w:t>）</w:t>
            </w:r>
          </w:p>
        </w:tc>
        <w:tc>
          <w:tcPr>
            <w:tcW w:w="754"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cs="宋体"/>
              </w:rPr>
            </w:pPr>
            <w:r>
              <w:rPr>
                <w:rFonts w:hint="eastAsia" w:hAnsi="suzhouFont" w:cs="宋体"/>
              </w:rPr>
              <w:t>相对误差</w:t>
            </w:r>
          </w:p>
          <w:p>
            <w:pPr>
              <w:widowControl/>
              <w:spacing w:before="75" w:after="75"/>
              <w:jc w:val="center"/>
              <w:rPr>
                <w:rFonts w:cs="宋体"/>
              </w:rPr>
            </w:pPr>
            <w:r>
              <w:rPr>
                <w:rFonts w:hint="eastAsia" w:hAnsi="suzhouFont" w:cs="宋体"/>
              </w:rPr>
              <w:t>（</w:t>
            </w:r>
            <w:r>
              <w:rPr>
                <w:rFonts w:hint="eastAsia" w:cs="宋体"/>
              </w:rPr>
              <w:t>%</w:t>
            </w:r>
            <w:r>
              <w:rPr>
                <w:rFonts w:hint="eastAsia" w:hAnsi="suzhouFont" w:cs="宋体"/>
              </w:rPr>
              <w:t>）</w:t>
            </w:r>
          </w:p>
        </w:tc>
        <w:tc>
          <w:tcPr>
            <w:tcW w:w="2175" w:type="pct"/>
            <w:tcBorders>
              <w:top w:val="single" w:color="auto" w:sz="8" w:space="0"/>
              <w:left w:val="single" w:color="auto" w:sz="8" w:space="0"/>
              <w:bottom w:val="single" w:color="auto" w:sz="8" w:space="0"/>
              <w:right w:val="single" w:color="auto" w:sz="8" w:space="0"/>
            </w:tcBorders>
            <w:vAlign w:val="center"/>
          </w:tcPr>
          <w:p>
            <w:pPr>
              <w:widowControl/>
              <w:spacing w:before="75" w:after="75"/>
              <w:jc w:val="center"/>
              <w:rPr>
                <w:rFonts w:hint="eastAsia" w:hAnsi="suzhouFont" w:cs="宋体"/>
                <w:szCs w:val="21"/>
              </w:rPr>
            </w:pPr>
            <w:r>
              <w:rPr>
                <w:rFonts w:hint="eastAsia" w:hAnsi="suzhouFont" w:cs="宋体"/>
                <w:szCs w:val="21"/>
              </w:rPr>
              <w:t>相对扩展不确定度</w:t>
            </w:r>
            <w:r>
              <w:rPr>
                <w:rFonts w:hint="eastAsia" w:hAnsi="suzhouFont" w:cs="宋体"/>
                <w:i/>
                <w:iCs/>
                <w:szCs w:val="21"/>
              </w:rPr>
              <w:t>U</w:t>
            </w:r>
            <w:r>
              <w:rPr>
                <w:rFonts w:hint="eastAsia" w:hAnsi="suzhouFont" w:cs="宋体"/>
                <w:szCs w:val="21"/>
                <w:vertAlign w:val="subscript"/>
              </w:rPr>
              <w:t>rel</w:t>
            </w:r>
            <w:r>
              <w:rPr>
                <w:rFonts w:hint="eastAsia" w:hAnsi="suzhouFont" w:cs="宋体"/>
                <w:szCs w:val="21"/>
              </w:rPr>
              <w:t>(</w:t>
            </w:r>
            <w:r>
              <w:rPr>
                <w:rFonts w:hint="eastAsia" w:hAnsi="suzhouFont" w:cs="宋体"/>
                <w:i/>
                <w:iCs/>
                <w:szCs w:val="21"/>
              </w:rPr>
              <w:t>k</w:t>
            </w:r>
            <w:r>
              <w:rPr>
                <w:rFonts w:hint="eastAsia" w:hAnsi="suzhouFont" w:cs="宋体"/>
                <w:szCs w:val="21"/>
              </w:rPr>
              <w:t>=2)</w:t>
            </w:r>
          </w:p>
          <w:p>
            <w:pPr>
              <w:widowControl/>
              <w:spacing w:before="75" w:after="75"/>
              <w:jc w:val="center"/>
              <w:rPr>
                <w:rFonts w:cs="宋体"/>
                <w:sz w:val="24"/>
              </w:rPr>
            </w:pPr>
            <w:r>
              <w:rPr>
                <w:rFonts w:hint="eastAsia" w:hAnsi="suzhouFont" w:cs="宋体"/>
                <w:szCs w:val="21"/>
              </w:rPr>
              <w:t>%</w:t>
            </w:r>
          </w:p>
        </w:tc>
      </w:tr>
      <w:tr>
        <w:tblPrEx>
          <w:tblCellMar>
            <w:top w:w="0" w:type="dxa"/>
            <w:left w:w="0" w:type="dxa"/>
            <w:bottom w:w="0" w:type="dxa"/>
            <w:right w:w="0" w:type="dxa"/>
          </w:tblCellMar>
        </w:tblPrEx>
        <w:tc>
          <w:tcPr>
            <w:tcW w:w="589" w:type="pct"/>
            <w:vMerge w:val="restart"/>
            <w:tcBorders>
              <w:top w:val="single" w:color="auto" w:sz="8" w:space="0"/>
              <w:left w:val="single" w:color="auto" w:sz="8" w:space="0"/>
              <w:right w:val="single" w:color="auto" w:sz="8" w:space="0"/>
            </w:tcBorders>
            <w:vAlign w:val="center"/>
          </w:tcPr>
          <w:p>
            <w:pPr>
              <w:widowControl/>
              <w:spacing w:before="75" w:after="75"/>
              <w:jc w:val="center"/>
              <w:rPr>
                <w:rFonts w:cs="宋体"/>
                <w:sz w:val="24"/>
              </w:rPr>
            </w:pPr>
            <w:r>
              <w:rPr>
                <w:rFonts w:hint="eastAsia" w:cs="宋体"/>
                <w:sz w:val="24"/>
              </w:rPr>
              <w:t>8.0</w:t>
            </w:r>
          </w:p>
        </w:tc>
        <w:tc>
          <w:tcPr>
            <w:tcW w:w="752"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27"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54"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2175"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r>
      <w:tr>
        <w:tblPrEx>
          <w:tblCellMar>
            <w:top w:w="0" w:type="dxa"/>
            <w:left w:w="0" w:type="dxa"/>
            <w:bottom w:w="0" w:type="dxa"/>
            <w:right w:w="0" w:type="dxa"/>
          </w:tblCellMar>
        </w:tblPrEx>
        <w:tc>
          <w:tcPr>
            <w:tcW w:w="589" w:type="pct"/>
            <w:vMerge w:val="continue"/>
            <w:tcBorders>
              <w:left w:val="single" w:color="auto" w:sz="8" w:space="0"/>
              <w:right w:val="single" w:color="auto" w:sz="8" w:space="0"/>
            </w:tcBorders>
          </w:tcPr>
          <w:p>
            <w:pPr>
              <w:widowControl/>
              <w:spacing w:before="75" w:after="75"/>
              <w:jc w:val="center"/>
              <w:rPr>
                <w:rFonts w:cs="宋体"/>
                <w:sz w:val="24"/>
              </w:rPr>
            </w:pPr>
          </w:p>
        </w:tc>
        <w:tc>
          <w:tcPr>
            <w:tcW w:w="752"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27"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54"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2175"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r>
      <w:tr>
        <w:tblPrEx>
          <w:tblCellMar>
            <w:top w:w="0" w:type="dxa"/>
            <w:left w:w="0" w:type="dxa"/>
            <w:bottom w:w="0" w:type="dxa"/>
            <w:right w:w="0" w:type="dxa"/>
          </w:tblCellMar>
        </w:tblPrEx>
        <w:tc>
          <w:tcPr>
            <w:tcW w:w="589" w:type="pct"/>
            <w:vMerge w:val="continue"/>
            <w:tcBorders>
              <w:left w:val="single" w:color="auto" w:sz="8" w:space="0"/>
              <w:right w:val="single" w:color="auto" w:sz="8" w:space="0"/>
            </w:tcBorders>
          </w:tcPr>
          <w:p>
            <w:pPr>
              <w:widowControl/>
              <w:spacing w:before="75" w:after="75"/>
              <w:jc w:val="center"/>
              <w:rPr>
                <w:rFonts w:cs="宋体"/>
                <w:sz w:val="24"/>
              </w:rPr>
            </w:pPr>
          </w:p>
        </w:tc>
        <w:tc>
          <w:tcPr>
            <w:tcW w:w="752"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27"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54"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2175"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r>
      <w:tr>
        <w:tblPrEx>
          <w:tblCellMar>
            <w:top w:w="0" w:type="dxa"/>
            <w:left w:w="0" w:type="dxa"/>
            <w:bottom w:w="0" w:type="dxa"/>
            <w:right w:w="0" w:type="dxa"/>
          </w:tblCellMar>
        </w:tblPrEx>
        <w:tc>
          <w:tcPr>
            <w:tcW w:w="589" w:type="pct"/>
            <w:vMerge w:val="continue"/>
            <w:tcBorders>
              <w:left w:val="single" w:color="auto" w:sz="8" w:space="0"/>
              <w:right w:val="single" w:color="auto" w:sz="8" w:space="0"/>
            </w:tcBorders>
          </w:tcPr>
          <w:p>
            <w:pPr>
              <w:widowControl/>
              <w:spacing w:before="75" w:after="75"/>
              <w:jc w:val="center"/>
              <w:rPr>
                <w:rFonts w:cs="宋体"/>
                <w:sz w:val="24"/>
              </w:rPr>
            </w:pPr>
          </w:p>
        </w:tc>
        <w:tc>
          <w:tcPr>
            <w:tcW w:w="752"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27"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54"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2175"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r>
      <w:tr>
        <w:tblPrEx>
          <w:tblCellMar>
            <w:top w:w="0" w:type="dxa"/>
            <w:left w:w="0" w:type="dxa"/>
            <w:bottom w:w="0" w:type="dxa"/>
            <w:right w:w="0" w:type="dxa"/>
          </w:tblCellMar>
        </w:tblPrEx>
        <w:tc>
          <w:tcPr>
            <w:tcW w:w="589" w:type="pct"/>
            <w:vMerge w:val="continue"/>
            <w:tcBorders>
              <w:left w:val="single" w:color="auto" w:sz="8" w:space="0"/>
              <w:right w:val="single" w:color="auto" w:sz="8" w:space="0"/>
            </w:tcBorders>
          </w:tcPr>
          <w:p>
            <w:pPr>
              <w:widowControl/>
              <w:spacing w:before="75" w:after="75"/>
              <w:jc w:val="center"/>
              <w:rPr>
                <w:rFonts w:cs="宋体"/>
                <w:sz w:val="24"/>
              </w:rPr>
            </w:pPr>
          </w:p>
        </w:tc>
        <w:tc>
          <w:tcPr>
            <w:tcW w:w="752"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27"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54"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2175"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r>
      <w:tr>
        <w:tblPrEx>
          <w:tblCellMar>
            <w:top w:w="0" w:type="dxa"/>
            <w:left w:w="0" w:type="dxa"/>
            <w:bottom w:w="0" w:type="dxa"/>
            <w:right w:w="0" w:type="dxa"/>
          </w:tblCellMar>
        </w:tblPrEx>
        <w:tc>
          <w:tcPr>
            <w:tcW w:w="589" w:type="pct"/>
            <w:vMerge w:val="continue"/>
            <w:tcBorders>
              <w:left w:val="single" w:color="auto" w:sz="8" w:space="0"/>
              <w:right w:val="single" w:color="auto" w:sz="8" w:space="0"/>
            </w:tcBorders>
          </w:tcPr>
          <w:p>
            <w:pPr>
              <w:widowControl/>
              <w:spacing w:before="75" w:after="75"/>
              <w:jc w:val="center"/>
              <w:rPr>
                <w:rFonts w:cs="宋体"/>
                <w:sz w:val="24"/>
              </w:rPr>
            </w:pPr>
          </w:p>
        </w:tc>
        <w:tc>
          <w:tcPr>
            <w:tcW w:w="752"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27"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54"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2175"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r>
      <w:tr>
        <w:tblPrEx>
          <w:tblCellMar>
            <w:top w:w="0" w:type="dxa"/>
            <w:left w:w="0" w:type="dxa"/>
            <w:bottom w:w="0" w:type="dxa"/>
            <w:right w:w="0" w:type="dxa"/>
          </w:tblCellMar>
        </w:tblPrEx>
        <w:tc>
          <w:tcPr>
            <w:tcW w:w="589" w:type="pct"/>
            <w:vMerge w:val="continue"/>
            <w:tcBorders>
              <w:left w:val="single" w:color="auto" w:sz="8" w:space="0"/>
              <w:bottom w:val="single" w:color="auto" w:sz="8" w:space="0"/>
              <w:right w:val="single" w:color="auto" w:sz="8" w:space="0"/>
            </w:tcBorders>
          </w:tcPr>
          <w:p>
            <w:pPr>
              <w:widowControl/>
              <w:spacing w:before="75" w:after="75"/>
              <w:jc w:val="center"/>
              <w:rPr>
                <w:rFonts w:cs="宋体"/>
                <w:sz w:val="24"/>
              </w:rPr>
            </w:pPr>
          </w:p>
        </w:tc>
        <w:tc>
          <w:tcPr>
            <w:tcW w:w="752"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27"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754"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c>
          <w:tcPr>
            <w:tcW w:w="2175" w:type="pct"/>
            <w:tcBorders>
              <w:top w:val="single" w:color="auto" w:sz="8" w:space="0"/>
              <w:left w:val="single" w:color="auto" w:sz="8" w:space="0"/>
              <w:bottom w:val="single" w:color="auto" w:sz="8" w:space="0"/>
              <w:right w:val="single" w:color="auto" w:sz="8" w:space="0"/>
            </w:tcBorders>
          </w:tcPr>
          <w:p>
            <w:pPr>
              <w:widowControl/>
              <w:spacing w:before="75" w:after="75"/>
              <w:jc w:val="center"/>
              <w:rPr>
                <w:rFonts w:cs="宋体"/>
                <w:sz w:val="24"/>
              </w:rPr>
            </w:pPr>
          </w:p>
        </w:tc>
      </w:tr>
    </w:tbl>
    <w:p>
      <w:pPr>
        <w:widowControl/>
        <w:adjustRightInd w:val="0"/>
        <w:snapToGrid w:val="0"/>
        <w:spacing w:before="75" w:after="75"/>
        <w:rPr>
          <w:rFonts w:cs="宋体"/>
          <w:sz w:val="24"/>
        </w:rPr>
      </w:pPr>
      <w:r>
        <w:rPr>
          <w:rFonts w:hint="eastAsia" w:cs="宋体"/>
          <w:sz w:val="24"/>
        </w:rPr>
        <w:t>3</w:t>
      </w:r>
      <w:r>
        <w:rPr>
          <w:rFonts w:cs="宋体"/>
          <w:sz w:val="24"/>
        </w:rPr>
        <w:t>.</w:t>
      </w:r>
      <w:r>
        <w:rPr>
          <w:rFonts w:hint="eastAsia" w:cs="宋体"/>
          <w:sz w:val="24"/>
        </w:rPr>
        <w:t>加速度分辨力：</w:t>
      </w:r>
    </w:p>
    <w:p>
      <w:pPr>
        <w:widowControl/>
        <w:adjustRightInd w:val="0"/>
        <w:snapToGrid w:val="0"/>
        <w:spacing w:before="75" w:after="75"/>
        <w:rPr>
          <w:rFonts w:cs="宋体"/>
          <w:sz w:val="24"/>
        </w:rPr>
      </w:pPr>
      <w:r>
        <w:rPr>
          <w:rFonts w:hint="eastAsia" w:cs="宋体"/>
          <w:sz w:val="24"/>
        </w:rPr>
        <w:t>4.时间示值误差：</w:t>
      </w:r>
    </w:p>
    <w:p>
      <w:pPr>
        <w:widowControl/>
        <w:spacing w:before="75" w:after="75"/>
        <w:ind w:firstLine="420"/>
        <w:rPr>
          <w:rFonts w:hint="eastAsia" w:hAnsi="suzhouFont" w:cs="宋体"/>
          <w:sz w:val="24"/>
        </w:rPr>
      </w:pPr>
      <w:r>
        <w:rPr>
          <w:rFonts w:hint="eastAsia" w:hAnsi="suzhouFont" w:cs="宋体"/>
          <w:sz w:val="24"/>
        </w:rPr>
        <w:t>相对扩展不确定度</w:t>
      </w:r>
      <w:r>
        <w:rPr>
          <w:rFonts w:hint="eastAsia" w:hAnsi="suzhouFont" w:cs="宋体"/>
          <w:i/>
          <w:iCs/>
          <w:sz w:val="24"/>
        </w:rPr>
        <w:t>U</w:t>
      </w:r>
      <w:r>
        <w:rPr>
          <w:rFonts w:hint="eastAsia" w:hAnsi="suzhouFont" w:cs="宋体"/>
          <w:sz w:val="24"/>
          <w:vertAlign w:val="subscript"/>
        </w:rPr>
        <w:t>rel</w:t>
      </w:r>
      <w:r>
        <w:rPr>
          <w:rFonts w:hint="eastAsia" w:hAnsi="suzhouFont" w:cs="宋体"/>
          <w:sz w:val="24"/>
        </w:rPr>
        <w:t>(</w:t>
      </w:r>
      <w:r>
        <w:rPr>
          <w:rFonts w:hint="eastAsia" w:hAnsi="suzhouFont" w:cs="宋体"/>
          <w:i/>
          <w:iCs/>
          <w:sz w:val="24"/>
        </w:rPr>
        <w:t>k</w:t>
      </w:r>
      <w:r>
        <w:rPr>
          <w:rFonts w:hint="eastAsia" w:hAnsi="suzhouFont" w:cs="宋体"/>
          <w:sz w:val="24"/>
        </w:rPr>
        <w:t>=2)</w:t>
      </w:r>
    </w:p>
    <w:p>
      <w:pPr>
        <w:widowControl/>
        <w:adjustRightInd w:val="0"/>
        <w:snapToGrid w:val="0"/>
        <w:spacing w:before="75" w:after="75"/>
        <w:rPr>
          <w:rFonts w:cs="宋体"/>
          <w:sz w:val="24"/>
          <w:highlight w:val="yellow"/>
        </w:rPr>
      </w:pPr>
      <w:r>
        <w:rPr>
          <w:rFonts w:hint="eastAsia" w:cs="宋体"/>
          <w:sz w:val="24"/>
        </w:rPr>
        <w:t>5.声压级示值误差：</w:t>
      </w:r>
    </w:p>
    <w:p>
      <w:pPr>
        <w:widowControl/>
        <w:spacing w:before="75" w:after="75"/>
        <w:ind w:firstLine="420"/>
        <w:rPr>
          <w:rFonts w:hint="eastAsia" w:hAnsi="suzhouFont" w:cs="宋体"/>
          <w:sz w:val="24"/>
        </w:rPr>
      </w:pPr>
      <w:r>
        <w:rPr>
          <w:rFonts w:hint="eastAsia" w:hAnsi="suzhouFont" w:cs="宋体"/>
          <w:sz w:val="24"/>
        </w:rPr>
        <w:t>扩展不确定度</w:t>
      </w:r>
      <w:r>
        <w:rPr>
          <w:rFonts w:hint="eastAsia" w:hAnsi="suzhouFont" w:cs="宋体"/>
          <w:i/>
          <w:iCs/>
          <w:sz w:val="24"/>
        </w:rPr>
        <w:t>U</w:t>
      </w:r>
      <w:r>
        <w:rPr>
          <w:rFonts w:hint="eastAsia" w:hAnsi="suzhouFont" w:cs="宋体"/>
          <w:sz w:val="24"/>
          <w:vertAlign w:val="subscript"/>
        </w:rPr>
        <w:t>rel</w:t>
      </w:r>
      <w:r>
        <w:rPr>
          <w:rFonts w:hint="eastAsia" w:hAnsi="suzhouFont" w:cs="宋体"/>
          <w:sz w:val="24"/>
        </w:rPr>
        <w:t>(</w:t>
      </w:r>
      <w:r>
        <w:rPr>
          <w:rFonts w:hint="eastAsia" w:hAnsi="suzhouFont" w:cs="宋体"/>
          <w:i/>
          <w:iCs/>
          <w:sz w:val="24"/>
        </w:rPr>
        <w:t>k</w:t>
      </w:r>
      <w:r>
        <w:rPr>
          <w:rFonts w:hint="eastAsia" w:hAnsi="suzhouFont" w:cs="宋体"/>
          <w:sz w:val="24"/>
        </w:rPr>
        <w:t>=2)</w:t>
      </w:r>
    </w:p>
    <w:p>
      <w:pPr>
        <w:spacing w:line="360" w:lineRule="auto"/>
        <w:rPr>
          <w:sz w:val="24"/>
        </w:rPr>
      </w:pPr>
    </w:p>
    <w:p>
      <w:pPr>
        <w:widowControl/>
        <w:jc w:val="left"/>
        <w:rPr>
          <w:rFonts w:ascii="黑体" w:hAnsi="黑体" w:eastAsia="黑体"/>
          <w:sz w:val="28"/>
          <w:szCs w:val="28"/>
        </w:rPr>
      </w:pPr>
      <w:r>
        <w:rPr>
          <w:rFonts w:ascii="黑体" w:hAnsi="黑体" w:eastAsia="黑体"/>
          <w:sz w:val="28"/>
          <w:szCs w:val="28"/>
        </w:rPr>
        <w:br w:type="page"/>
      </w:r>
    </w:p>
    <w:p>
      <w:pPr>
        <w:spacing w:line="360" w:lineRule="auto"/>
        <w:rPr>
          <w:rFonts w:ascii="黑体" w:hAnsi="黑体" w:eastAsia="黑体"/>
          <w:sz w:val="28"/>
          <w:szCs w:val="28"/>
        </w:rPr>
      </w:pPr>
      <w:r>
        <w:rPr>
          <w:rFonts w:hint="eastAsia" w:ascii="黑体" w:hAnsi="黑体" w:eastAsia="黑体"/>
          <w:sz w:val="28"/>
          <w:szCs w:val="28"/>
        </w:rPr>
        <w:t>附录</w:t>
      </w:r>
      <w:r>
        <w:rPr>
          <w:rFonts w:hint="eastAsia" w:eastAsia="黑体"/>
          <w:sz w:val="28"/>
          <w:szCs w:val="28"/>
        </w:rPr>
        <w:t>B</w:t>
      </w:r>
    </w:p>
    <w:p>
      <w:pPr>
        <w:spacing w:line="360" w:lineRule="auto"/>
        <w:jc w:val="center"/>
        <w:rPr>
          <w:rFonts w:ascii="黑体" w:hAnsi="黑体" w:eastAsia="黑体"/>
          <w:sz w:val="24"/>
        </w:rPr>
      </w:pPr>
      <w:r>
        <w:rPr>
          <w:rFonts w:hint="eastAsia" w:ascii="黑体" w:hAnsi="黑体" w:eastAsia="黑体"/>
          <w:sz w:val="24"/>
        </w:rPr>
        <w:t>电梯综合测试仪加速度示值误差测量不确定度评定示例</w:t>
      </w:r>
    </w:p>
    <w:p>
      <w:pPr>
        <w:spacing w:line="360" w:lineRule="auto"/>
        <w:rPr>
          <w:b/>
          <w:sz w:val="24"/>
        </w:rPr>
      </w:pPr>
      <w:r>
        <w:rPr>
          <w:rFonts w:hint="eastAsia" w:eastAsia="黑体"/>
          <w:sz w:val="24"/>
        </w:rPr>
        <w:t xml:space="preserve">B.1  </w:t>
      </w:r>
      <w:r>
        <w:rPr>
          <w:rFonts w:hint="eastAsia" w:hAnsi="黑体" w:eastAsia="黑体"/>
          <w:sz w:val="24"/>
        </w:rPr>
        <w:t>概述</w:t>
      </w:r>
    </w:p>
    <w:p>
      <w:pPr>
        <w:spacing w:line="360" w:lineRule="auto"/>
        <w:rPr>
          <w:sz w:val="24"/>
        </w:rPr>
      </w:pPr>
      <w:r>
        <w:rPr>
          <w:rFonts w:hint="eastAsia"/>
          <w:sz w:val="24"/>
        </w:rPr>
        <w:t xml:space="preserve">B.1.1  </w:t>
      </w:r>
      <w:r>
        <w:rPr>
          <w:rFonts w:hint="eastAsia" w:hAnsi="宋体"/>
          <w:sz w:val="24"/>
        </w:rPr>
        <w:t>测量依据：</w:t>
      </w:r>
      <w:r>
        <w:rPr>
          <w:rFonts w:hint="eastAsia"/>
          <w:sz w:val="24"/>
        </w:rPr>
        <w:t>JJF</w:t>
      </w:r>
      <w:r>
        <w:rPr>
          <w:rFonts w:hint="eastAsia" w:hAnsi="宋体"/>
          <w:sz w:val="24"/>
        </w:rPr>
        <w:t>（鄂）</w:t>
      </w:r>
      <w:r>
        <w:rPr>
          <w:rFonts w:hint="eastAsia"/>
          <w:sz w:val="24"/>
        </w:rPr>
        <w:t>xxx-202x</w:t>
      </w:r>
      <w:r>
        <w:rPr>
          <w:rFonts w:hint="eastAsia" w:hAnsi="宋体"/>
          <w:sz w:val="24"/>
        </w:rPr>
        <w:t>《电梯综合测试仪校准规范》</w:t>
      </w:r>
    </w:p>
    <w:p>
      <w:pPr>
        <w:spacing w:line="360" w:lineRule="auto"/>
        <w:rPr>
          <w:sz w:val="24"/>
        </w:rPr>
      </w:pPr>
      <w:r>
        <w:rPr>
          <w:rFonts w:hint="eastAsia"/>
          <w:sz w:val="24"/>
        </w:rPr>
        <w:t xml:space="preserve">B.1.2  </w:t>
      </w:r>
      <w:r>
        <w:rPr>
          <w:rFonts w:hint="eastAsia" w:hAnsi="宋体"/>
          <w:sz w:val="24"/>
        </w:rPr>
        <w:t>测量环境：温度：</w:t>
      </w:r>
      <w:r>
        <w:rPr>
          <w:rFonts w:hint="eastAsia"/>
          <w:sz w:val="24"/>
        </w:rPr>
        <w:t>21℃</w:t>
      </w:r>
      <w:r>
        <w:rPr>
          <w:rFonts w:hint="eastAsia" w:hAnsi="宋体"/>
          <w:sz w:val="24"/>
        </w:rPr>
        <w:t>，湿度：</w:t>
      </w:r>
      <w:r>
        <w:rPr>
          <w:rFonts w:hint="eastAsia"/>
          <w:sz w:val="24"/>
        </w:rPr>
        <w:t>70%RH</w:t>
      </w:r>
    </w:p>
    <w:p>
      <w:pPr>
        <w:spacing w:line="360" w:lineRule="auto"/>
        <w:rPr>
          <w:sz w:val="24"/>
        </w:rPr>
      </w:pPr>
      <w:r>
        <w:rPr>
          <w:rFonts w:hint="eastAsia"/>
          <w:sz w:val="24"/>
        </w:rPr>
        <w:t xml:space="preserve">B.1.3  </w:t>
      </w:r>
      <w:r>
        <w:rPr>
          <w:rFonts w:hint="eastAsia" w:hAnsi="宋体"/>
          <w:sz w:val="24"/>
        </w:rPr>
        <w:t>测量标准：振动标准装置，测量范围：（</w:t>
      </w:r>
      <w:r>
        <w:rPr>
          <w:rFonts w:hint="eastAsia"/>
          <w:sz w:val="24"/>
        </w:rPr>
        <w:t>0.5~100</w:t>
      </w:r>
      <w:r>
        <w:rPr>
          <w:rFonts w:hint="eastAsia" w:hAnsi="宋体"/>
          <w:sz w:val="24"/>
        </w:rPr>
        <w:t>）</w:t>
      </w:r>
      <w:r>
        <w:rPr>
          <w:rFonts w:hint="eastAsia"/>
          <w:sz w:val="24"/>
        </w:rPr>
        <w:t>Hz。</w:t>
      </w:r>
    </w:p>
    <w:p>
      <w:pPr>
        <w:spacing w:line="360" w:lineRule="auto"/>
        <w:rPr>
          <w:sz w:val="24"/>
        </w:rPr>
      </w:pPr>
      <w:r>
        <w:rPr>
          <w:rFonts w:hint="eastAsia"/>
          <w:sz w:val="24"/>
        </w:rPr>
        <w:t xml:space="preserve">B.1.4  </w:t>
      </w:r>
      <w:r>
        <w:rPr>
          <w:rFonts w:hint="eastAsia" w:hAnsi="宋体"/>
          <w:sz w:val="24"/>
        </w:rPr>
        <w:t>测量对象：电梯综合测试仪。</w:t>
      </w:r>
    </w:p>
    <w:p>
      <w:pPr>
        <w:adjustRightInd w:val="0"/>
        <w:snapToGrid w:val="0"/>
        <w:spacing w:line="300" w:lineRule="auto"/>
        <w:rPr>
          <w:rFonts w:cs="宋体"/>
          <w:sz w:val="24"/>
        </w:rPr>
      </w:pPr>
      <w:r>
        <w:rPr>
          <w:rFonts w:hint="eastAsia"/>
          <w:sz w:val="24"/>
        </w:rPr>
        <w:t xml:space="preserve">B.1.5  </w:t>
      </w:r>
      <w:r>
        <w:rPr>
          <w:rFonts w:hint="eastAsia" w:hAnsi="宋体"/>
          <w:sz w:val="24"/>
        </w:rPr>
        <w:t>测量方法：在校准前，</w:t>
      </w:r>
      <w:r>
        <w:rPr>
          <w:rFonts w:hint="eastAsia" w:hAnsi="宋体" w:cs="宋体"/>
          <w:sz w:val="24"/>
        </w:rPr>
        <w:t>将被校</w:t>
      </w:r>
      <w:r>
        <w:rPr>
          <w:rFonts w:hint="eastAsia" w:hAnsi="宋体"/>
          <w:sz w:val="24"/>
        </w:rPr>
        <w:t>测试仪</w:t>
      </w:r>
      <w:r>
        <w:rPr>
          <w:rFonts w:hint="eastAsia" w:hAnsi="宋体" w:cs="宋体"/>
          <w:sz w:val="24"/>
        </w:rPr>
        <w:t>安装</w:t>
      </w:r>
      <w:r>
        <w:rPr>
          <w:rFonts w:hint="eastAsia"/>
          <w:sz w:val="24"/>
        </w:rPr>
        <w:t>在动台台面中心，对有平衡位置指示器和水平仪的测试仪，应按要求进行各部位的调节，调节完毕后须将可调部位锁紧，在校准过程中还应注意监视测试仪</w:t>
      </w:r>
      <w:r>
        <w:rPr>
          <w:rFonts w:hint="eastAsia" w:hAnsi="宋体" w:cs="宋体"/>
          <w:sz w:val="24"/>
        </w:rPr>
        <w:t>与台面的接触状况。</w:t>
      </w:r>
      <w:r>
        <w:rPr>
          <w:rFonts w:hint="eastAsia"/>
          <w:sz w:val="24"/>
        </w:rPr>
        <w:t>按照</w:t>
      </w:r>
      <w:r>
        <w:rPr>
          <w:rFonts w:hint="eastAsia" w:hAnsi="宋体"/>
          <w:sz w:val="24"/>
        </w:rPr>
        <w:t>测试仪</w:t>
      </w:r>
      <w:r>
        <w:rPr>
          <w:rFonts w:hint="eastAsia"/>
          <w:sz w:val="24"/>
        </w:rPr>
        <w:t>给出的频率范围，在其频率范围内均匀选取2个频率点，校准其幅频响应。由振动标准装置给出在某一频率下的振动幅值</w:t>
      </w:r>
      <w:r>
        <w:rPr>
          <w:position w:val="-6"/>
        </w:rPr>
        <w:object>
          <v:shape id="_x0000_i1043" o:spt="75" type="#_x0000_t75" style="height:11.25pt;width:12.75pt;" o:ole="t" filled="f" o:preferrelative="t" stroked="f" coordsize="21600,21600">
            <v:path/>
            <v:fill on="f" focussize="0,0"/>
            <v:stroke on="f" joinstyle="miter"/>
            <v:imagedata r:id="rId18" o:title=""/>
            <o:lock v:ext="edit" aspectratio="t"/>
            <w10:wrap type="none"/>
            <w10:anchorlock/>
          </v:shape>
          <o:OLEObject Type="Embed" ProgID="Equation.DSMT4" ShapeID="_x0000_i1043" DrawAspect="Content" ObjectID="_1468075743" r:id="rId44">
            <o:LockedField>false</o:LockedField>
          </o:OLEObject>
        </w:object>
      </w:r>
      <w:r>
        <w:rPr>
          <w:rFonts w:hint="eastAsia"/>
          <w:sz w:val="24"/>
        </w:rPr>
        <w:t>，读取</w:t>
      </w:r>
      <w:r>
        <w:rPr>
          <w:rFonts w:hint="eastAsia" w:hAnsi="宋体"/>
          <w:sz w:val="24"/>
        </w:rPr>
        <w:t>测试仪</w:t>
      </w:r>
      <w:r>
        <w:rPr>
          <w:rFonts w:hint="eastAsia"/>
          <w:sz w:val="24"/>
        </w:rPr>
        <w:t>的显示</w:t>
      </w:r>
      <w:r>
        <w:rPr>
          <w:position w:val="-12"/>
        </w:rPr>
        <w:object>
          <v:shape id="_x0000_i1044" o:spt="75" type="#_x0000_t75" style="height:18pt;width:12pt;" o:ole="t" filled="f" o:preferrelative="t" stroked="f" coordsize="21600,21600">
            <v:path/>
            <v:fill on="f" focussize="0,0"/>
            <v:stroke on="f" joinstyle="miter"/>
            <v:imagedata r:id="rId20" o:title=""/>
            <o:lock v:ext="edit" aspectratio="t"/>
            <w10:wrap type="none"/>
            <w10:anchorlock/>
          </v:shape>
          <o:OLEObject Type="Embed" ProgID="Equation.DSMT4" ShapeID="_x0000_i1044" DrawAspect="Content" ObjectID="_1468075744" r:id="rId45">
            <o:LockedField>false</o:LockedField>
          </o:OLEObject>
        </w:object>
      </w:r>
      <w:r>
        <w:rPr>
          <w:rFonts w:hint="eastAsia"/>
          <w:sz w:val="24"/>
        </w:rPr>
        <w:t>；改变振动标准装置给出的频率，记录不同频率点下</w:t>
      </w:r>
      <w:r>
        <w:rPr>
          <w:rFonts w:hint="eastAsia" w:hAnsi="宋体"/>
          <w:sz w:val="24"/>
        </w:rPr>
        <w:t>测试仪</w:t>
      </w:r>
      <w:r>
        <w:rPr>
          <w:rFonts w:hint="eastAsia"/>
          <w:sz w:val="24"/>
        </w:rPr>
        <w:t>的幅值测量结果。</w:t>
      </w:r>
    </w:p>
    <w:p>
      <w:pPr>
        <w:spacing w:line="360" w:lineRule="auto"/>
        <w:ind w:firstLine="480" w:firstLineChars="200"/>
        <w:rPr>
          <w:sz w:val="24"/>
        </w:rPr>
      </w:pPr>
      <w:r>
        <w:rPr>
          <w:rFonts w:hint="eastAsia" w:hAnsi="宋体"/>
          <w:sz w:val="24"/>
        </w:rPr>
        <w:t>选取常用频率为</w:t>
      </w:r>
      <w:r>
        <w:rPr>
          <w:rFonts w:hint="eastAsia"/>
          <w:sz w:val="24"/>
        </w:rPr>
        <w:t>8Hz</w:t>
      </w:r>
      <w:r>
        <w:rPr>
          <w:rFonts w:hint="eastAsia" w:hAnsi="宋体"/>
          <w:sz w:val="24"/>
        </w:rPr>
        <w:t>，</w:t>
      </w:r>
      <w:r>
        <w:rPr>
          <w:rFonts w:hint="eastAsia"/>
          <w:sz w:val="24"/>
        </w:rPr>
        <w:t>16Hz</w:t>
      </w:r>
      <w:r>
        <w:rPr>
          <w:rFonts w:hint="eastAsia" w:hAnsi="宋体"/>
          <w:sz w:val="24"/>
        </w:rPr>
        <w:t>，加速度峰值</w:t>
      </w:r>
      <w:r>
        <w:rPr>
          <w:rFonts w:hint="eastAsia"/>
          <w:sz w:val="24"/>
        </w:rPr>
        <w:t>2.0m/s</w:t>
      </w:r>
      <w:r>
        <w:rPr>
          <w:rFonts w:hint="eastAsia"/>
          <w:sz w:val="24"/>
          <w:vertAlign w:val="superscript"/>
        </w:rPr>
        <w:t>2</w:t>
      </w:r>
      <w:r>
        <w:rPr>
          <w:rFonts w:hint="eastAsia" w:hAnsi="宋体"/>
          <w:sz w:val="24"/>
        </w:rPr>
        <w:t>点处的校准结果作为实用举例。</w:t>
      </w:r>
    </w:p>
    <w:p>
      <w:pPr>
        <w:spacing w:line="360" w:lineRule="auto"/>
        <w:rPr>
          <w:rFonts w:eastAsia="黑体"/>
          <w:sz w:val="24"/>
        </w:rPr>
      </w:pPr>
      <w:r>
        <w:rPr>
          <w:rFonts w:hint="eastAsia" w:eastAsia="黑体"/>
          <w:sz w:val="24"/>
        </w:rPr>
        <w:t xml:space="preserve">B2  </w:t>
      </w:r>
      <w:r>
        <w:rPr>
          <w:rFonts w:hint="eastAsia" w:hAnsi="黑体" w:eastAsia="黑体"/>
          <w:sz w:val="24"/>
        </w:rPr>
        <w:t>测量模型</w:t>
      </w:r>
    </w:p>
    <w:p>
      <w:pPr>
        <w:spacing w:line="360" w:lineRule="auto"/>
        <w:jc w:val="center"/>
        <w:rPr>
          <w:sz w:val="24"/>
        </w:rPr>
      </w:pPr>
      <w:r>
        <w:rPr>
          <w:position w:val="-30"/>
          <w:sz w:val="24"/>
        </w:rPr>
        <w:object>
          <v:shape id="_x0000_i1045" o:spt="75" type="#_x0000_t75" style="height:33.75pt;width:99pt;" o:ole="t" filled="f" o:preferrelative="t" stroked="f" coordsize="21600,21600">
            <v:path/>
            <v:fill on="f" focussize="0,0"/>
            <v:stroke on="f" joinstyle="miter"/>
            <v:imagedata r:id="rId22" o:title=""/>
            <o:lock v:ext="edit" aspectratio="t"/>
            <w10:wrap type="none"/>
            <w10:anchorlock/>
          </v:shape>
          <o:OLEObject Type="Embed" ProgID="Equation.DSMT4" ShapeID="_x0000_i1045" DrawAspect="Content" ObjectID="_1468075745" r:id="rId46">
            <o:LockedField>false</o:LockedField>
          </o:OLEObject>
        </w:object>
      </w:r>
    </w:p>
    <w:p>
      <w:pPr>
        <w:spacing w:line="360" w:lineRule="auto"/>
        <w:rPr>
          <w:sz w:val="24"/>
        </w:rPr>
      </w:pPr>
      <w:r>
        <w:rPr>
          <w:rFonts w:hint="eastAsia" w:hAnsi="宋体"/>
          <w:sz w:val="24"/>
        </w:rPr>
        <w:t>式中：</w:t>
      </w:r>
    </w:p>
    <w:p>
      <w:pPr>
        <w:spacing w:line="360" w:lineRule="auto"/>
        <w:ind w:firstLine="420" w:firstLineChars="200"/>
        <w:rPr>
          <w:sz w:val="24"/>
        </w:rPr>
      </w:pPr>
      <w:r>
        <w:rPr>
          <w:position w:val="-6"/>
        </w:rPr>
        <w:object>
          <v:shape id="_x0000_i1046" o:spt="75" type="#_x0000_t75" style="height:14.25pt;width:15pt;" o:ole="t" filled="f" o:preferrelative="t" stroked="f" coordsize="21600,21600">
            <v:path/>
            <v:fill on="f" focussize="0,0"/>
            <v:stroke on="f" joinstyle="miter"/>
            <v:imagedata r:id="rId48" o:title=""/>
            <o:lock v:ext="edit" aspectratio="t"/>
            <w10:wrap type="none"/>
            <w10:anchorlock/>
          </v:shape>
          <o:OLEObject Type="Embed" ProgID="Equation.DSMT4" ShapeID="_x0000_i1046" DrawAspect="Content" ObjectID="_1468075746" r:id="rId47">
            <o:LockedField>false</o:LockedField>
          </o:OLEObject>
        </w:object>
      </w:r>
      <w:r>
        <w:rPr>
          <w:rFonts w:hint="eastAsia"/>
          <w:sz w:val="24"/>
        </w:rPr>
        <w:t>—</w:t>
      </w:r>
      <w:r>
        <w:rPr>
          <w:rFonts w:hint="eastAsia" w:hAnsi="宋体"/>
          <w:sz w:val="24"/>
        </w:rPr>
        <w:t>测试仪的幅值示值误差，</w:t>
      </w:r>
      <w:r>
        <w:rPr>
          <w:rFonts w:hint="eastAsia"/>
          <w:sz w:val="24"/>
        </w:rPr>
        <w:t>%</w:t>
      </w:r>
      <w:r>
        <w:rPr>
          <w:rFonts w:hint="eastAsia" w:hAnsi="宋体"/>
          <w:sz w:val="24"/>
        </w:rPr>
        <w:t>；</w:t>
      </w:r>
    </w:p>
    <w:p>
      <w:pPr>
        <w:spacing w:line="360" w:lineRule="auto"/>
        <w:ind w:firstLine="420" w:firstLineChars="200"/>
        <w:rPr>
          <w:sz w:val="24"/>
        </w:rPr>
      </w:pPr>
      <w:r>
        <w:rPr>
          <w:position w:val="-12"/>
        </w:rPr>
        <w:object>
          <v:shape id="_x0000_i1047" o:spt="75" type="#_x0000_t75" style="height:18pt;width:12pt;" o:ole="t" filled="f" o:preferrelative="t" stroked="f" coordsize="21600,21600">
            <v:path/>
            <v:fill on="f" focussize="0,0"/>
            <v:stroke on="f" joinstyle="miter"/>
            <v:imagedata r:id="rId50" o:title=""/>
            <o:lock v:ext="edit" aspectratio="t"/>
            <w10:wrap type="none"/>
            <w10:anchorlock/>
          </v:shape>
          <o:OLEObject Type="Embed" ProgID="Equation.DSMT4" ShapeID="_x0000_i1047" DrawAspect="Content" ObjectID="_1468075747" r:id="rId49">
            <o:LockedField>false</o:LockedField>
          </o:OLEObject>
        </w:object>
      </w:r>
      <w:r>
        <w:rPr>
          <w:rFonts w:hint="eastAsia"/>
          <w:sz w:val="24"/>
        </w:rPr>
        <w:t>—</w:t>
      </w:r>
      <w:r>
        <w:rPr>
          <w:rFonts w:hint="eastAsia" w:hAnsi="宋体"/>
          <w:sz w:val="24"/>
        </w:rPr>
        <w:t>测试仪的示值，</w:t>
      </w:r>
      <w:r>
        <w:rPr>
          <w:rFonts w:hint="eastAsia"/>
          <w:sz w:val="24"/>
        </w:rPr>
        <w:t>m/s</w:t>
      </w:r>
      <w:r>
        <w:rPr>
          <w:rFonts w:hint="eastAsia"/>
          <w:sz w:val="24"/>
          <w:vertAlign w:val="superscript"/>
        </w:rPr>
        <w:t>2</w:t>
      </w:r>
      <w:r>
        <w:rPr>
          <w:rFonts w:hint="eastAsia" w:hAnsi="宋体"/>
          <w:sz w:val="24"/>
        </w:rPr>
        <w:t>；</w:t>
      </w:r>
    </w:p>
    <w:p>
      <w:pPr>
        <w:spacing w:line="360" w:lineRule="auto"/>
        <w:ind w:firstLine="420" w:firstLineChars="200"/>
        <w:rPr>
          <w:sz w:val="24"/>
        </w:rPr>
      </w:pPr>
      <w:r>
        <w:rPr>
          <w:position w:val="-12"/>
        </w:rPr>
        <w:object>
          <v:shape id="_x0000_i1048" o:spt="75" type="#_x0000_t75" style="height:18pt;width:12.75pt;" o:ole="t" filled="f" o:preferrelative="t" stroked="f" coordsize="21600,21600">
            <v:path/>
            <v:fill on="f" focussize="0,0"/>
            <v:stroke on="f" joinstyle="miter"/>
            <v:imagedata r:id="rId52" o:title=""/>
            <o:lock v:ext="edit" aspectratio="t"/>
            <w10:wrap type="none"/>
            <w10:anchorlock/>
          </v:shape>
          <o:OLEObject Type="Embed" ProgID="Equation.DSMT4" ShapeID="_x0000_i1048" DrawAspect="Content" ObjectID="_1468075748" r:id="rId51">
            <o:LockedField>false</o:LockedField>
          </o:OLEObject>
        </w:object>
      </w:r>
      <w:r>
        <w:rPr>
          <w:rFonts w:hint="eastAsia"/>
          <w:sz w:val="24"/>
        </w:rPr>
        <w:t>—</w:t>
      </w:r>
      <w:r>
        <w:rPr>
          <w:rFonts w:hint="eastAsia" w:hAnsi="宋体"/>
          <w:sz w:val="24"/>
        </w:rPr>
        <w:t>振动标准装置的</w:t>
      </w:r>
      <w:r>
        <w:rPr>
          <w:rFonts w:hint="eastAsia"/>
          <w:sz w:val="24"/>
        </w:rPr>
        <w:t>振动标准装置的标准幅值</w:t>
      </w:r>
      <w:r>
        <w:rPr>
          <w:rFonts w:hint="eastAsia" w:hAnsi="宋体"/>
          <w:sz w:val="24"/>
        </w:rPr>
        <w:t>，</w:t>
      </w:r>
      <w:r>
        <w:rPr>
          <w:rFonts w:hint="eastAsia"/>
          <w:sz w:val="24"/>
        </w:rPr>
        <w:t>m/s</w:t>
      </w:r>
      <w:r>
        <w:rPr>
          <w:rFonts w:hint="eastAsia"/>
          <w:sz w:val="24"/>
          <w:vertAlign w:val="superscript"/>
        </w:rPr>
        <w:t>2</w:t>
      </w:r>
      <w:r>
        <w:rPr>
          <w:rFonts w:hint="eastAsia"/>
          <w:sz w:val="24"/>
        </w:rPr>
        <w:t>。</w:t>
      </w:r>
    </w:p>
    <w:p>
      <w:pPr>
        <w:spacing w:line="360" w:lineRule="auto"/>
        <w:rPr>
          <w:rFonts w:eastAsia="黑体"/>
          <w:sz w:val="24"/>
        </w:rPr>
      </w:pPr>
      <w:r>
        <w:rPr>
          <w:rFonts w:hint="eastAsia" w:eastAsia="黑体"/>
          <w:sz w:val="24"/>
        </w:rPr>
        <w:t xml:space="preserve">B3  </w:t>
      </w:r>
      <w:r>
        <w:rPr>
          <w:rFonts w:hint="eastAsia" w:hAnsi="黑体" w:eastAsia="黑体"/>
          <w:sz w:val="24"/>
        </w:rPr>
        <w:t>标准不确定度的误差来源</w:t>
      </w:r>
    </w:p>
    <w:p>
      <w:pPr>
        <w:spacing w:line="360" w:lineRule="auto"/>
        <w:rPr>
          <w:sz w:val="24"/>
        </w:rPr>
      </w:pPr>
      <w:r>
        <w:rPr>
          <w:rFonts w:hint="eastAsia"/>
          <w:sz w:val="24"/>
        </w:rPr>
        <w:t xml:space="preserve">B3.1  </w:t>
      </w:r>
      <w:r>
        <w:rPr>
          <w:sz w:val="24"/>
        </w:rPr>
        <w:t>由参考</w:t>
      </w:r>
      <w:r>
        <w:rPr>
          <w:rFonts w:hint="eastAsia"/>
          <w:sz w:val="24"/>
        </w:rPr>
        <w:t>传感器</w:t>
      </w:r>
      <w:r>
        <w:rPr>
          <w:sz w:val="24"/>
        </w:rPr>
        <w:t>引入的标准不确定度分量</w:t>
      </w:r>
      <w:r>
        <w:rPr>
          <w:rFonts w:hint="eastAsia"/>
          <w:i/>
          <w:sz w:val="24"/>
        </w:rPr>
        <w:t>u</w:t>
      </w:r>
      <w:r>
        <w:rPr>
          <w:rFonts w:hint="eastAsia"/>
          <w:sz w:val="24"/>
          <w:vertAlign w:val="subscript"/>
        </w:rPr>
        <w:t>rel1</w:t>
      </w:r>
    </w:p>
    <w:p>
      <w:pPr>
        <w:spacing w:line="360" w:lineRule="auto"/>
        <w:rPr>
          <w:sz w:val="24"/>
        </w:rPr>
      </w:pPr>
      <w:r>
        <w:rPr>
          <w:rFonts w:hAnsi="宋体"/>
          <w:sz w:val="24"/>
        </w:rPr>
        <w:t>参考传感器在</w:t>
      </w:r>
      <w:r>
        <w:rPr>
          <w:rFonts w:hint="eastAsia"/>
          <w:sz w:val="24"/>
        </w:rPr>
        <w:t>8</w:t>
      </w:r>
      <w:r>
        <w:rPr>
          <w:sz w:val="24"/>
        </w:rPr>
        <w:t>Hz</w:t>
      </w:r>
      <w:r>
        <w:rPr>
          <w:rFonts w:hAnsi="宋体"/>
          <w:sz w:val="24"/>
        </w:rPr>
        <w:t>、</w:t>
      </w:r>
      <w:r>
        <w:rPr>
          <w:rFonts w:hint="eastAsia"/>
          <w:sz w:val="24"/>
        </w:rPr>
        <w:t>16</w:t>
      </w:r>
      <w:r>
        <w:rPr>
          <w:sz w:val="24"/>
        </w:rPr>
        <w:t xml:space="preserve"> Hz</w:t>
      </w:r>
      <w:r>
        <w:rPr>
          <w:rFonts w:hAnsi="宋体"/>
          <w:sz w:val="24"/>
        </w:rPr>
        <w:t>频率点的相对不确定度分别为</w:t>
      </w:r>
      <w:r>
        <w:rPr>
          <w:rFonts w:hint="eastAsia"/>
          <w:sz w:val="24"/>
        </w:rPr>
        <w:t>1.</w:t>
      </w:r>
      <w:r>
        <w:rPr>
          <w:sz w:val="24"/>
        </w:rPr>
        <w:t>0%</w:t>
      </w:r>
      <w:r>
        <w:rPr>
          <w:rFonts w:hint="eastAsia" w:hAnsi="宋体"/>
          <w:sz w:val="24"/>
        </w:rPr>
        <w:t>（</w:t>
      </w:r>
      <w:r>
        <w:rPr>
          <w:i/>
          <w:sz w:val="24"/>
        </w:rPr>
        <w:t>k</w:t>
      </w:r>
      <w:r>
        <w:rPr>
          <w:sz w:val="24"/>
        </w:rPr>
        <w:t>=2</w:t>
      </w:r>
      <w:r>
        <w:rPr>
          <w:rFonts w:hAnsi="宋体"/>
          <w:sz w:val="24"/>
        </w:rPr>
        <w:t>），</w:t>
      </w:r>
      <w:r>
        <w:rPr>
          <w:rFonts w:hint="eastAsia"/>
          <w:sz w:val="24"/>
        </w:rPr>
        <w:t>0.5%</w:t>
      </w:r>
      <w:r>
        <w:rPr>
          <w:rFonts w:hint="eastAsia" w:hAnsi="宋体"/>
          <w:sz w:val="24"/>
        </w:rPr>
        <w:t>（</w:t>
      </w:r>
      <w:r>
        <w:rPr>
          <w:i/>
          <w:sz w:val="24"/>
        </w:rPr>
        <w:t>k</w:t>
      </w:r>
      <w:r>
        <w:rPr>
          <w:sz w:val="24"/>
        </w:rPr>
        <w:t>=2</w:t>
      </w:r>
      <w:r>
        <w:rPr>
          <w:rFonts w:hAnsi="宋体"/>
          <w:sz w:val="24"/>
        </w:rPr>
        <w:t>），因此引入的标准不确定度分量为：</w:t>
      </w:r>
    </w:p>
    <w:p>
      <w:pPr>
        <w:spacing w:line="360" w:lineRule="auto"/>
        <w:ind w:firstLine="600" w:firstLineChars="250"/>
        <w:jc w:val="center"/>
        <w:rPr>
          <w:sz w:val="24"/>
        </w:rPr>
      </w:pPr>
      <w:r>
        <w:rPr>
          <w:rFonts w:hint="eastAsia"/>
          <w:sz w:val="24"/>
        </w:rPr>
        <w:t>8</w:t>
      </w:r>
      <w:r>
        <w:rPr>
          <w:sz w:val="24"/>
        </w:rPr>
        <w:t>Hz</w:t>
      </w:r>
      <w:r>
        <w:rPr>
          <w:rFonts w:hint="eastAsia"/>
          <w:sz w:val="24"/>
        </w:rPr>
        <w:t>：</w:t>
      </w:r>
      <w:r>
        <w:rPr>
          <w:rFonts w:hint="eastAsia"/>
          <w:i/>
          <w:sz w:val="24"/>
        </w:rPr>
        <w:t>u</w:t>
      </w:r>
      <w:r>
        <w:rPr>
          <w:rFonts w:hint="eastAsia"/>
          <w:sz w:val="24"/>
          <w:vertAlign w:val="subscript"/>
        </w:rPr>
        <w:t>ref1</w:t>
      </w:r>
      <w:r>
        <w:rPr>
          <w:rFonts w:hint="eastAsia"/>
          <w:sz w:val="24"/>
        </w:rPr>
        <w:t>=1.0%/2×2=0.01 m/s</w:t>
      </w:r>
      <w:r>
        <w:rPr>
          <w:rFonts w:hint="eastAsia"/>
          <w:sz w:val="24"/>
          <w:vertAlign w:val="superscript"/>
        </w:rPr>
        <w:t>2</w:t>
      </w:r>
    </w:p>
    <w:p>
      <w:pPr>
        <w:spacing w:line="360" w:lineRule="auto"/>
        <w:ind w:firstLine="600" w:firstLineChars="250"/>
        <w:jc w:val="center"/>
        <w:rPr>
          <w:sz w:val="24"/>
        </w:rPr>
      </w:pPr>
      <w:r>
        <w:rPr>
          <w:rFonts w:hint="eastAsia"/>
          <w:sz w:val="24"/>
        </w:rPr>
        <w:t>16</w:t>
      </w:r>
      <w:r>
        <w:rPr>
          <w:sz w:val="24"/>
        </w:rPr>
        <w:t>Hz</w:t>
      </w:r>
      <w:r>
        <w:rPr>
          <w:rFonts w:hint="eastAsia"/>
          <w:sz w:val="24"/>
        </w:rPr>
        <w:t>：</w:t>
      </w:r>
      <w:r>
        <w:rPr>
          <w:rFonts w:hint="eastAsia"/>
          <w:i/>
          <w:sz w:val="24"/>
        </w:rPr>
        <w:t>u</w:t>
      </w:r>
      <w:r>
        <w:rPr>
          <w:rFonts w:hint="eastAsia"/>
          <w:sz w:val="24"/>
          <w:vertAlign w:val="subscript"/>
        </w:rPr>
        <w:t>ref1</w:t>
      </w:r>
      <w:r>
        <w:rPr>
          <w:rFonts w:hint="eastAsia"/>
          <w:sz w:val="24"/>
        </w:rPr>
        <w:t>=0.5%/2×2=0.005 m/s</w:t>
      </w:r>
      <w:r>
        <w:rPr>
          <w:rFonts w:hint="eastAsia"/>
          <w:sz w:val="24"/>
          <w:vertAlign w:val="superscript"/>
        </w:rPr>
        <w:t>2</w:t>
      </w:r>
    </w:p>
    <w:p>
      <w:pPr>
        <w:adjustRightInd w:val="0"/>
        <w:snapToGrid w:val="0"/>
        <w:spacing w:line="360" w:lineRule="auto"/>
        <w:textAlignment w:val="center"/>
        <w:rPr>
          <w:sz w:val="24"/>
        </w:rPr>
      </w:pPr>
      <w:r>
        <w:rPr>
          <w:rFonts w:hint="eastAsia"/>
          <w:sz w:val="24"/>
        </w:rPr>
        <w:t xml:space="preserve">B3.2  </w:t>
      </w:r>
      <w:r>
        <w:rPr>
          <w:rFonts w:hint="eastAsia" w:hAnsi="宋体"/>
          <w:sz w:val="24"/>
        </w:rPr>
        <w:t>由小型振动台伺服控制和数字标定仪引入的测量结果相对标准不确定度分量</w:t>
      </w:r>
      <w:r>
        <w:rPr>
          <w:rFonts w:hint="eastAsia"/>
          <w:i/>
          <w:sz w:val="24"/>
        </w:rPr>
        <w:t>u</w:t>
      </w:r>
      <w:r>
        <w:rPr>
          <w:rFonts w:hint="eastAsia"/>
          <w:sz w:val="24"/>
          <w:vertAlign w:val="subscript"/>
        </w:rPr>
        <w:t>rel2</w:t>
      </w:r>
      <w:r>
        <w:rPr>
          <w:rFonts w:hint="eastAsia" w:hAnsi="宋体"/>
          <w:sz w:val="24"/>
        </w:rPr>
        <w:t>，由证书给出的测量结果不确定度为：</w:t>
      </w:r>
      <w:r>
        <w:rPr>
          <w:rFonts w:hint="eastAsia"/>
          <w:i/>
          <w:sz w:val="24"/>
        </w:rPr>
        <w:t>U</w:t>
      </w:r>
      <w:r>
        <w:rPr>
          <w:rFonts w:hint="eastAsia"/>
          <w:sz w:val="24"/>
          <w:vertAlign w:val="subscript"/>
        </w:rPr>
        <w:t>rel</w:t>
      </w:r>
      <w:r>
        <w:rPr>
          <w:rFonts w:hint="eastAsia"/>
          <w:sz w:val="24"/>
        </w:rPr>
        <w:t>=0.1%</w:t>
      </w:r>
      <w:r>
        <w:rPr>
          <w:rFonts w:hint="eastAsia" w:hAnsi="宋体"/>
          <w:sz w:val="24"/>
        </w:rPr>
        <w:t>，</w:t>
      </w:r>
      <w:r>
        <w:rPr>
          <w:rFonts w:hint="eastAsia"/>
          <w:i/>
          <w:sz w:val="24"/>
        </w:rPr>
        <w:t>k</w:t>
      </w:r>
      <w:r>
        <w:rPr>
          <w:rFonts w:hint="eastAsia"/>
          <w:sz w:val="24"/>
        </w:rPr>
        <w:t>=2</w:t>
      </w:r>
      <w:r>
        <w:rPr>
          <w:rFonts w:hint="eastAsia" w:hAnsi="宋体"/>
          <w:sz w:val="24"/>
        </w:rPr>
        <w:t>，有：</w:t>
      </w:r>
    </w:p>
    <w:p>
      <w:pPr>
        <w:spacing w:line="360" w:lineRule="auto"/>
        <w:jc w:val="center"/>
        <w:rPr>
          <w:sz w:val="24"/>
        </w:rPr>
      </w:pPr>
      <w:r>
        <w:rPr>
          <w:rFonts w:hint="eastAsia"/>
          <w:i/>
          <w:sz w:val="24"/>
        </w:rPr>
        <w:t>u</w:t>
      </w:r>
      <w:r>
        <w:rPr>
          <w:rFonts w:hint="eastAsia"/>
          <w:sz w:val="24"/>
          <w:vertAlign w:val="subscript"/>
        </w:rPr>
        <w:t>rel2</w:t>
      </w:r>
      <w:r>
        <w:rPr>
          <w:rFonts w:hint="eastAsia"/>
          <w:sz w:val="24"/>
        </w:rPr>
        <w:t>=0.1%/2×2=0.01 m/s2</w:t>
      </w:r>
    </w:p>
    <w:p>
      <w:pPr>
        <w:adjustRightInd w:val="0"/>
        <w:snapToGrid w:val="0"/>
        <w:spacing w:line="360" w:lineRule="auto"/>
        <w:rPr>
          <w:sz w:val="24"/>
        </w:rPr>
      </w:pPr>
      <w:r>
        <w:rPr>
          <w:rFonts w:hint="eastAsia"/>
          <w:sz w:val="24"/>
        </w:rPr>
        <w:t>B3.3</w:t>
      </w:r>
      <w:r>
        <w:rPr>
          <w:sz w:val="24"/>
        </w:rPr>
        <w:t>噪声对电压测量的影响而引入的标准不确定度分量</w:t>
      </w:r>
      <w:r>
        <w:rPr>
          <w:rFonts w:hint="eastAsia"/>
          <w:i/>
          <w:sz w:val="24"/>
        </w:rPr>
        <w:t>u</w:t>
      </w:r>
      <w:r>
        <w:rPr>
          <w:rFonts w:hint="eastAsia"/>
          <w:sz w:val="24"/>
          <w:vertAlign w:val="subscript"/>
        </w:rPr>
        <w:t>ref4</w:t>
      </w:r>
      <w:r>
        <w:rPr>
          <w:rFonts w:hint="eastAsia"/>
          <w:sz w:val="24"/>
        </w:rPr>
        <w:t>，</w:t>
      </w:r>
      <w:r>
        <w:rPr>
          <w:sz w:val="24"/>
        </w:rPr>
        <w:t>粗估由电压干扰噪声引入的误差为±0.</w:t>
      </w:r>
      <w:r>
        <w:rPr>
          <w:rFonts w:hint="eastAsia"/>
          <w:sz w:val="24"/>
        </w:rPr>
        <w:t>5</w:t>
      </w:r>
      <w:r>
        <w:rPr>
          <w:sz w:val="24"/>
        </w:rPr>
        <w:t>%，认为是均匀分布，故:</w:t>
      </w:r>
    </w:p>
    <w:p>
      <w:pPr>
        <w:adjustRightInd w:val="0"/>
        <w:snapToGrid w:val="0"/>
        <w:spacing w:line="360" w:lineRule="auto"/>
        <w:jc w:val="center"/>
        <w:rPr>
          <w:sz w:val="24"/>
        </w:rPr>
      </w:pPr>
      <w:r>
        <w:rPr>
          <w:rFonts w:hint="eastAsia"/>
          <w:i/>
          <w:sz w:val="24"/>
        </w:rPr>
        <w:t>u</w:t>
      </w:r>
      <w:r>
        <w:rPr>
          <w:rFonts w:hint="eastAsia"/>
          <w:sz w:val="24"/>
          <w:vertAlign w:val="subscript"/>
        </w:rPr>
        <w:t>ref4</w:t>
      </w:r>
      <w:r>
        <w:rPr>
          <w:rFonts w:hint="eastAsia"/>
          <w:sz w:val="24"/>
        </w:rPr>
        <w:t>=0.5%/</w:t>
      </w:r>
      <w:r>
        <w:rPr>
          <w:position w:val="-6"/>
          <w:sz w:val="24"/>
        </w:rPr>
        <w:object>
          <v:shape id="_x0000_i1049" o:spt="75" type="#_x0000_t75" style="height:15.75pt;width:15.75pt;" o:ole="t" filled="f" o:preferrelative="t" stroked="f" coordsize="21600,21600">
            <v:path/>
            <v:fill on="f" focussize="0,0"/>
            <v:stroke on="f" joinstyle="miter"/>
            <v:imagedata r:id="rId54" o:title=""/>
            <o:lock v:ext="edit" aspectratio="t"/>
            <w10:wrap type="none"/>
            <w10:anchorlock/>
          </v:shape>
          <o:OLEObject Type="Embed" ProgID="Equation.DSMT4" ShapeID="_x0000_i1049" DrawAspect="Content" ObjectID="_1468075749" r:id="rId53">
            <o:LockedField>false</o:LockedField>
          </o:OLEObject>
        </w:object>
      </w:r>
      <w:r>
        <w:rPr>
          <w:rFonts w:hint="eastAsia"/>
          <w:sz w:val="24"/>
        </w:rPr>
        <w:t>×2=0.0058 m/s</w:t>
      </w:r>
      <w:r>
        <w:rPr>
          <w:rFonts w:hint="eastAsia"/>
          <w:sz w:val="24"/>
          <w:vertAlign w:val="superscript"/>
        </w:rPr>
        <w:t>2</w:t>
      </w:r>
    </w:p>
    <w:p>
      <w:pPr>
        <w:adjustRightInd w:val="0"/>
        <w:snapToGrid w:val="0"/>
        <w:spacing w:line="360" w:lineRule="auto"/>
        <w:rPr>
          <w:sz w:val="24"/>
        </w:rPr>
      </w:pPr>
      <w:r>
        <w:rPr>
          <w:rFonts w:hint="eastAsia"/>
          <w:sz w:val="24"/>
        </w:rPr>
        <w:t>B3.4</w:t>
      </w:r>
      <w:r>
        <w:rPr>
          <w:sz w:val="24"/>
        </w:rPr>
        <w:t>安装参数(如扭矩、电缆的固定、模拟质量块等)对电压输出比</w:t>
      </w:r>
      <w:r>
        <w:rPr>
          <w:rFonts w:hint="eastAsia"/>
          <w:i/>
          <w:sz w:val="24"/>
        </w:rPr>
        <w:t>V</w:t>
      </w:r>
      <w:r>
        <w:rPr>
          <w:rFonts w:hint="eastAsia"/>
          <w:sz w:val="24"/>
          <w:vertAlign w:val="subscript"/>
        </w:rPr>
        <w:t>R</w:t>
      </w:r>
      <w:r>
        <w:rPr>
          <w:sz w:val="24"/>
        </w:rPr>
        <w:t>测量的影响而引入的标准不确定度分量</w:t>
      </w:r>
      <w:r>
        <w:rPr>
          <w:rFonts w:hint="eastAsia"/>
          <w:i/>
          <w:sz w:val="24"/>
        </w:rPr>
        <w:t xml:space="preserve"> u</w:t>
      </w:r>
      <w:r>
        <w:rPr>
          <w:rFonts w:hint="eastAsia"/>
          <w:sz w:val="24"/>
          <w:vertAlign w:val="subscript"/>
        </w:rPr>
        <w:t>ref5</w:t>
      </w:r>
      <w:r>
        <w:rPr>
          <w:rFonts w:hint="eastAsia"/>
          <w:sz w:val="24"/>
        </w:rPr>
        <w:t>：</w:t>
      </w:r>
    </w:p>
    <w:p>
      <w:pPr>
        <w:adjustRightInd w:val="0"/>
        <w:snapToGrid w:val="0"/>
        <w:spacing w:line="360" w:lineRule="auto"/>
        <w:jc w:val="center"/>
        <w:rPr>
          <w:sz w:val="24"/>
        </w:rPr>
      </w:pPr>
      <w:r>
        <w:rPr>
          <w:rFonts w:hint="eastAsia"/>
          <w:i/>
          <w:sz w:val="24"/>
        </w:rPr>
        <w:t>u</w:t>
      </w:r>
      <w:r>
        <w:rPr>
          <w:rFonts w:hint="eastAsia"/>
          <w:sz w:val="24"/>
          <w:vertAlign w:val="subscript"/>
        </w:rPr>
        <w:t>ref5</w:t>
      </w:r>
      <w:r>
        <w:rPr>
          <w:rFonts w:hint="eastAsia"/>
          <w:sz w:val="24"/>
        </w:rPr>
        <w:t>=0.5%/</w:t>
      </w:r>
      <w:r>
        <w:rPr>
          <w:position w:val="-6"/>
          <w:sz w:val="24"/>
        </w:rPr>
        <w:object>
          <v:shape id="_x0000_i1050" o:spt="75" type="#_x0000_t75" style="height:15.75pt;width:15.75pt;" o:ole="t" filled="f" o:preferrelative="t" stroked="f" coordsize="21600,21600">
            <v:path/>
            <v:fill on="f" focussize="0,0"/>
            <v:stroke on="f" joinstyle="miter"/>
            <v:imagedata r:id="rId56" o:title=""/>
            <o:lock v:ext="edit" aspectratio="t"/>
            <w10:wrap type="none"/>
            <w10:anchorlock/>
          </v:shape>
          <o:OLEObject Type="Embed" ProgID="Equation.DSMT4" ShapeID="_x0000_i1050" DrawAspect="Content" ObjectID="_1468075750" r:id="rId55">
            <o:LockedField>false</o:LockedField>
          </o:OLEObject>
        </w:object>
      </w:r>
      <w:r>
        <w:rPr>
          <w:rFonts w:hint="eastAsia"/>
          <w:sz w:val="24"/>
        </w:rPr>
        <w:t>×2=0.0058 m/s</w:t>
      </w:r>
      <w:r>
        <w:rPr>
          <w:rFonts w:hint="eastAsia"/>
          <w:sz w:val="24"/>
          <w:vertAlign w:val="superscript"/>
        </w:rPr>
        <w:t>2</w:t>
      </w:r>
    </w:p>
    <w:p>
      <w:pPr>
        <w:adjustRightInd w:val="0"/>
        <w:snapToGrid w:val="0"/>
        <w:spacing w:line="360" w:lineRule="auto"/>
        <w:rPr>
          <w:sz w:val="24"/>
        </w:rPr>
      </w:pPr>
      <w:r>
        <w:rPr>
          <w:rFonts w:hint="eastAsia"/>
          <w:sz w:val="24"/>
        </w:rPr>
        <w:t>B3.5参考传感器灵敏度年稳定度影响而引入的标准不确定度分量</w:t>
      </w:r>
      <w:r>
        <w:rPr>
          <w:i/>
          <w:sz w:val="24"/>
        </w:rPr>
        <w:t xml:space="preserve"> u</w:t>
      </w:r>
      <w:r>
        <w:rPr>
          <w:sz w:val="24"/>
          <w:vertAlign w:val="subscript"/>
        </w:rPr>
        <w:t>ref</w:t>
      </w:r>
      <w:r>
        <w:rPr>
          <w:rFonts w:hint="eastAsia"/>
          <w:sz w:val="24"/>
          <w:vertAlign w:val="subscript"/>
        </w:rPr>
        <w:t>6</w:t>
      </w:r>
      <w:r>
        <w:rPr>
          <w:rFonts w:hint="eastAsia"/>
          <w:sz w:val="24"/>
        </w:rPr>
        <w:t>：</w:t>
      </w:r>
    </w:p>
    <w:p>
      <w:pPr>
        <w:adjustRightInd w:val="0"/>
        <w:snapToGrid w:val="0"/>
        <w:spacing w:line="360" w:lineRule="auto"/>
        <w:ind w:firstLine="480" w:firstLineChars="200"/>
        <w:rPr>
          <w:sz w:val="24"/>
        </w:rPr>
      </w:pPr>
      <w:r>
        <w:rPr>
          <w:rFonts w:hint="eastAsia"/>
          <w:sz w:val="24"/>
        </w:rPr>
        <w:t>本装置使用的传感器，其灵敏度年稳定度优于±</w:t>
      </w:r>
      <w:r>
        <w:rPr>
          <w:sz w:val="24"/>
        </w:rPr>
        <w:t>1.0%</w:t>
      </w:r>
      <w:r>
        <w:rPr>
          <w:rFonts w:hint="eastAsia"/>
          <w:sz w:val="24"/>
        </w:rPr>
        <w:t>。按照一年的变化量考虑，并可视为均匀分布</w:t>
      </w:r>
      <w:r>
        <w:rPr>
          <w:sz w:val="24"/>
        </w:rPr>
        <w:t>，</w:t>
      </w:r>
      <w:r>
        <w:rPr>
          <w:rFonts w:hint="eastAsia"/>
          <w:sz w:val="24"/>
        </w:rPr>
        <w:t>有</w:t>
      </w:r>
      <w:r>
        <w:rPr>
          <w:sz w:val="24"/>
        </w:rPr>
        <w:t>：</w:t>
      </w:r>
    </w:p>
    <w:p>
      <w:pPr>
        <w:adjustRightInd w:val="0"/>
        <w:snapToGrid w:val="0"/>
        <w:spacing w:line="360" w:lineRule="auto"/>
        <w:jc w:val="center"/>
        <w:rPr>
          <w:sz w:val="24"/>
        </w:rPr>
      </w:pPr>
      <w:r>
        <w:rPr>
          <w:i/>
          <w:sz w:val="24"/>
        </w:rPr>
        <w:t>u</w:t>
      </w:r>
      <w:r>
        <w:rPr>
          <w:sz w:val="24"/>
          <w:vertAlign w:val="subscript"/>
        </w:rPr>
        <w:t>ref</w:t>
      </w:r>
      <w:r>
        <w:rPr>
          <w:rFonts w:hint="eastAsia"/>
          <w:sz w:val="24"/>
          <w:vertAlign w:val="subscript"/>
        </w:rPr>
        <w:t>6</w:t>
      </w:r>
      <w:r>
        <w:rPr>
          <w:sz w:val="24"/>
        </w:rPr>
        <w:t>=1.0%/</w:t>
      </w:r>
      <w:r>
        <w:rPr>
          <w:position w:val="-6"/>
          <w:sz w:val="24"/>
        </w:rPr>
        <w:object>
          <v:shape id="_x0000_i1051" o:spt="75" type="#_x0000_t75" style="height:15.75pt;width:15.75pt;" o:ole="t" filled="f" o:preferrelative="t" stroked="f" coordsize="21600,21600">
            <v:path/>
            <v:fill on="f" focussize="0,0"/>
            <v:stroke on="f" joinstyle="miter"/>
            <v:imagedata r:id="rId58" o:title=""/>
            <o:lock v:ext="edit" aspectratio="t"/>
            <w10:wrap type="none"/>
            <w10:anchorlock/>
          </v:shape>
          <o:OLEObject Type="Embed" ProgID="Equation.DSMT4" ShapeID="_x0000_i1051" DrawAspect="Content" ObjectID="_1468075751" r:id="rId57">
            <o:LockedField>false</o:LockedField>
          </o:OLEObject>
        </w:object>
      </w:r>
      <w:r>
        <w:rPr>
          <w:rFonts w:hint="eastAsia"/>
          <w:sz w:val="24"/>
        </w:rPr>
        <w:t>×2</w:t>
      </w:r>
      <w:r>
        <w:rPr>
          <w:sz w:val="24"/>
        </w:rPr>
        <w:t>=</w:t>
      </w:r>
      <w:r>
        <w:rPr>
          <w:rFonts w:hint="eastAsia"/>
          <w:sz w:val="24"/>
        </w:rPr>
        <w:t>0.012m/s</w:t>
      </w:r>
      <w:r>
        <w:rPr>
          <w:rFonts w:hint="eastAsia"/>
          <w:sz w:val="24"/>
          <w:vertAlign w:val="superscript"/>
        </w:rPr>
        <w:t>2</w:t>
      </w:r>
    </w:p>
    <w:p>
      <w:pPr>
        <w:adjustRightInd w:val="0"/>
        <w:snapToGrid w:val="0"/>
        <w:spacing w:line="360" w:lineRule="auto"/>
        <w:rPr>
          <w:sz w:val="24"/>
        </w:rPr>
      </w:pPr>
      <w:r>
        <w:rPr>
          <w:rFonts w:hint="eastAsia"/>
          <w:sz w:val="24"/>
        </w:rPr>
        <w:t>B3.6振动台失真度以及</w:t>
      </w:r>
      <w:r>
        <w:rPr>
          <w:sz w:val="24"/>
        </w:rPr>
        <w:t>其他环境条件引入的标准不确定度分量</w:t>
      </w:r>
      <w:r>
        <w:rPr>
          <w:rFonts w:hint="eastAsia"/>
          <w:i/>
          <w:sz w:val="24"/>
        </w:rPr>
        <w:t>u</w:t>
      </w:r>
      <w:r>
        <w:rPr>
          <w:rFonts w:hint="eastAsia"/>
          <w:sz w:val="24"/>
          <w:vertAlign w:val="subscript"/>
        </w:rPr>
        <w:t>ref7</w:t>
      </w:r>
      <w:r>
        <w:rPr>
          <w:rFonts w:hint="eastAsia"/>
          <w:sz w:val="24"/>
        </w:rPr>
        <w:t>。</w:t>
      </w:r>
      <w:r>
        <w:rPr>
          <w:sz w:val="24"/>
        </w:rPr>
        <w:t>认为是均匀分布，则有:</w:t>
      </w:r>
    </w:p>
    <w:p>
      <w:pPr>
        <w:adjustRightInd w:val="0"/>
        <w:snapToGrid w:val="0"/>
        <w:spacing w:line="360" w:lineRule="auto"/>
        <w:jc w:val="center"/>
        <w:rPr>
          <w:sz w:val="24"/>
        </w:rPr>
      </w:pPr>
      <w:r>
        <w:rPr>
          <w:rFonts w:hint="eastAsia"/>
          <w:i/>
          <w:sz w:val="24"/>
        </w:rPr>
        <w:t>u</w:t>
      </w:r>
      <w:r>
        <w:rPr>
          <w:rFonts w:hint="eastAsia"/>
          <w:sz w:val="24"/>
          <w:vertAlign w:val="subscript"/>
        </w:rPr>
        <w:t>ref7</w:t>
      </w:r>
      <w:r>
        <w:rPr>
          <w:rFonts w:hint="eastAsia"/>
          <w:sz w:val="24"/>
        </w:rPr>
        <w:t>=0.5%/</w:t>
      </w:r>
      <w:r>
        <w:rPr>
          <w:position w:val="-6"/>
          <w:sz w:val="24"/>
        </w:rPr>
        <w:object>
          <v:shape id="_x0000_i1052" o:spt="75" type="#_x0000_t75" style="height:15.75pt;width:15.75pt;" o:ole="t" filled="f" o:preferrelative="t" stroked="f" coordsize="21600,21600">
            <v:path/>
            <v:fill on="f" focussize="0,0"/>
            <v:stroke on="f" joinstyle="miter"/>
            <v:imagedata r:id="rId60" o:title=""/>
            <o:lock v:ext="edit" aspectratio="t"/>
            <w10:wrap type="none"/>
            <w10:anchorlock/>
          </v:shape>
          <o:OLEObject Type="Embed" ProgID="Equation.DSMT4" ShapeID="_x0000_i1052" DrawAspect="Content" ObjectID="_1468075752" r:id="rId59">
            <o:LockedField>false</o:LockedField>
          </o:OLEObject>
        </w:object>
      </w:r>
      <w:r>
        <w:rPr>
          <w:rFonts w:hint="eastAsia"/>
          <w:sz w:val="24"/>
        </w:rPr>
        <w:t>×2=0.0058m/s</w:t>
      </w:r>
      <w:r>
        <w:rPr>
          <w:rFonts w:hint="eastAsia"/>
          <w:sz w:val="24"/>
          <w:vertAlign w:val="superscript"/>
        </w:rPr>
        <w:t>2</w:t>
      </w:r>
    </w:p>
    <w:p>
      <w:pPr>
        <w:adjustRightInd w:val="0"/>
        <w:snapToGrid w:val="0"/>
        <w:spacing w:line="360" w:lineRule="auto"/>
        <w:rPr>
          <w:sz w:val="24"/>
        </w:rPr>
      </w:pPr>
      <w:r>
        <w:rPr>
          <w:rFonts w:hint="eastAsia"/>
          <w:sz w:val="24"/>
        </w:rPr>
        <w:t>B3.7测量结果重复性引入的不确定度分量</w:t>
      </w:r>
      <w:r>
        <w:rPr>
          <w:rFonts w:hint="eastAsia"/>
          <w:i/>
          <w:sz w:val="24"/>
        </w:rPr>
        <w:t>u</w:t>
      </w:r>
      <w:r>
        <w:rPr>
          <w:rFonts w:hint="eastAsia"/>
          <w:sz w:val="24"/>
          <w:vertAlign w:val="subscript"/>
        </w:rPr>
        <w:t>ref8</w:t>
      </w:r>
      <w:r>
        <w:rPr>
          <w:rFonts w:hint="eastAsia"/>
          <w:sz w:val="24"/>
        </w:rPr>
        <w:t>，用A类标准不确定度评定。</w:t>
      </w:r>
    </w:p>
    <w:p>
      <w:pPr>
        <w:adjustRightInd w:val="0"/>
        <w:snapToGrid w:val="0"/>
        <w:spacing w:line="360" w:lineRule="auto"/>
        <w:ind w:firstLine="480" w:firstLineChars="200"/>
        <w:rPr>
          <w:sz w:val="24"/>
        </w:rPr>
      </w:pPr>
      <w:r>
        <w:rPr>
          <w:rFonts w:hint="eastAsia"/>
          <w:sz w:val="24"/>
        </w:rPr>
        <w:t>对被校的测试仪在其频响范围内进行检测，对该频率点进行多次重复检测， 重复测量10次，得到的数据如下表，数据单位(m/s</w:t>
      </w:r>
      <w:r>
        <w:rPr>
          <w:rFonts w:hint="eastAsia"/>
          <w:sz w:val="24"/>
          <w:vertAlign w:val="superscript"/>
        </w:rPr>
        <w:t>2</w:t>
      </w:r>
      <w:r>
        <w:rPr>
          <w:rFonts w:hint="eastAsia"/>
          <w:sz w:val="24"/>
        </w:rPr>
        <w:t>)：</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676"/>
        <w:gridCol w:w="727"/>
        <w:gridCol w:w="727"/>
        <w:gridCol w:w="727"/>
        <w:gridCol w:w="727"/>
        <w:gridCol w:w="727"/>
        <w:gridCol w:w="727"/>
        <w:gridCol w:w="727"/>
        <w:gridCol w:w="727"/>
        <w:gridCol w:w="727"/>
        <w:gridCol w:w="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52" w:type="dxa"/>
            <w:gridSpan w:val="2"/>
            <w:shd w:val="clear" w:color="auto" w:fill="auto"/>
            <w:vAlign w:val="center"/>
          </w:tcPr>
          <w:p>
            <w:pPr>
              <w:adjustRightInd w:val="0"/>
              <w:snapToGrid w:val="0"/>
              <w:jc w:val="center"/>
              <w:rPr>
                <w:szCs w:val="18"/>
              </w:rPr>
            </w:pPr>
            <w:r>
              <w:rPr>
                <w:rFonts w:hint="eastAsia"/>
                <w:szCs w:val="18"/>
              </w:rPr>
              <w:t>测量次数</w:t>
            </w:r>
          </w:p>
        </w:tc>
        <w:tc>
          <w:tcPr>
            <w:tcW w:w="727" w:type="dxa"/>
            <w:shd w:val="clear" w:color="auto" w:fill="auto"/>
            <w:vAlign w:val="center"/>
          </w:tcPr>
          <w:p>
            <w:pPr>
              <w:adjustRightInd w:val="0"/>
              <w:snapToGrid w:val="0"/>
              <w:jc w:val="center"/>
              <w:rPr>
                <w:szCs w:val="18"/>
              </w:rPr>
            </w:pPr>
            <w:r>
              <w:rPr>
                <w:rFonts w:hint="eastAsia"/>
                <w:szCs w:val="18"/>
              </w:rPr>
              <w:t>1</w:t>
            </w:r>
          </w:p>
        </w:tc>
        <w:tc>
          <w:tcPr>
            <w:tcW w:w="727" w:type="dxa"/>
            <w:shd w:val="clear" w:color="auto" w:fill="auto"/>
            <w:vAlign w:val="center"/>
          </w:tcPr>
          <w:p>
            <w:pPr>
              <w:adjustRightInd w:val="0"/>
              <w:snapToGrid w:val="0"/>
              <w:jc w:val="center"/>
              <w:rPr>
                <w:szCs w:val="18"/>
              </w:rPr>
            </w:pPr>
            <w:r>
              <w:rPr>
                <w:rFonts w:hint="eastAsia"/>
                <w:szCs w:val="18"/>
              </w:rPr>
              <w:t>2</w:t>
            </w:r>
          </w:p>
        </w:tc>
        <w:tc>
          <w:tcPr>
            <w:tcW w:w="727" w:type="dxa"/>
            <w:shd w:val="clear" w:color="auto" w:fill="auto"/>
            <w:vAlign w:val="center"/>
          </w:tcPr>
          <w:p>
            <w:pPr>
              <w:adjustRightInd w:val="0"/>
              <w:snapToGrid w:val="0"/>
              <w:jc w:val="center"/>
              <w:rPr>
                <w:szCs w:val="18"/>
              </w:rPr>
            </w:pPr>
            <w:r>
              <w:rPr>
                <w:rFonts w:hint="eastAsia"/>
                <w:szCs w:val="18"/>
              </w:rPr>
              <w:t>3</w:t>
            </w:r>
          </w:p>
        </w:tc>
        <w:tc>
          <w:tcPr>
            <w:tcW w:w="727" w:type="dxa"/>
            <w:shd w:val="clear" w:color="auto" w:fill="auto"/>
            <w:vAlign w:val="center"/>
          </w:tcPr>
          <w:p>
            <w:pPr>
              <w:adjustRightInd w:val="0"/>
              <w:snapToGrid w:val="0"/>
              <w:jc w:val="center"/>
              <w:rPr>
                <w:szCs w:val="18"/>
              </w:rPr>
            </w:pPr>
            <w:r>
              <w:rPr>
                <w:rFonts w:hint="eastAsia"/>
                <w:szCs w:val="18"/>
              </w:rPr>
              <w:t>4</w:t>
            </w:r>
          </w:p>
        </w:tc>
        <w:tc>
          <w:tcPr>
            <w:tcW w:w="727" w:type="dxa"/>
            <w:shd w:val="clear" w:color="auto" w:fill="auto"/>
            <w:vAlign w:val="center"/>
          </w:tcPr>
          <w:p>
            <w:pPr>
              <w:adjustRightInd w:val="0"/>
              <w:snapToGrid w:val="0"/>
              <w:jc w:val="center"/>
              <w:rPr>
                <w:szCs w:val="18"/>
              </w:rPr>
            </w:pPr>
            <w:r>
              <w:rPr>
                <w:rFonts w:hint="eastAsia"/>
                <w:szCs w:val="18"/>
              </w:rPr>
              <w:t>5</w:t>
            </w:r>
          </w:p>
        </w:tc>
        <w:tc>
          <w:tcPr>
            <w:tcW w:w="727" w:type="dxa"/>
            <w:shd w:val="clear" w:color="auto" w:fill="auto"/>
            <w:vAlign w:val="center"/>
          </w:tcPr>
          <w:p>
            <w:pPr>
              <w:adjustRightInd w:val="0"/>
              <w:snapToGrid w:val="0"/>
              <w:jc w:val="center"/>
              <w:rPr>
                <w:szCs w:val="18"/>
              </w:rPr>
            </w:pPr>
            <w:r>
              <w:rPr>
                <w:rFonts w:hint="eastAsia"/>
                <w:szCs w:val="18"/>
              </w:rPr>
              <w:t>6</w:t>
            </w:r>
          </w:p>
        </w:tc>
        <w:tc>
          <w:tcPr>
            <w:tcW w:w="727" w:type="dxa"/>
            <w:shd w:val="clear" w:color="auto" w:fill="auto"/>
            <w:vAlign w:val="center"/>
          </w:tcPr>
          <w:p>
            <w:pPr>
              <w:adjustRightInd w:val="0"/>
              <w:snapToGrid w:val="0"/>
              <w:jc w:val="center"/>
              <w:rPr>
                <w:szCs w:val="18"/>
              </w:rPr>
            </w:pPr>
            <w:r>
              <w:rPr>
                <w:rFonts w:hint="eastAsia"/>
                <w:szCs w:val="18"/>
              </w:rPr>
              <w:t>7</w:t>
            </w:r>
          </w:p>
        </w:tc>
        <w:tc>
          <w:tcPr>
            <w:tcW w:w="727" w:type="dxa"/>
            <w:shd w:val="clear" w:color="auto" w:fill="auto"/>
            <w:vAlign w:val="center"/>
          </w:tcPr>
          <w:p>
            <w:pPr>
              <w:adjustRightInd w:val="0"/>
              <w:snapToGrid w:val="0"/>
              <w:jc w:val="center"/>
              <w:rPr>
                <w:szCs w:val="18"/>
              </w:rPr>
            </w:pPr>
            <w:r>
              <w:rPr>
                <w:rFonts w:hint="eastAsia"/>
                <w:szCs w:val="18"/>
              </w:rPr>
              <w:t>8</w:t>
            </w:r>
          </w:p>
        </w:tc>
        <w:tc>
          <w:tcPr>
            <w:tcW w:w="727" w:type="dxa"/>
            <w:shd w:val="clear" w:color="auto" w:fill="auto"/>
            <w:vAlign w:val="center"/>
          </w:tcPr>
          <w:p>
            <w:pPr>
              <w:adjustRightInd w:val="0"/>
              <w:snapToGrid w:val="0"/>
              <w:jc w:val="center"/>
              <w:rPr>
                <w:szCs w:val="18"/>
              </w:rPr>
            </w:pPr>
            <w:r>
              <w:rPr>
                <w:rFonts w:hint="eastAsia"/>
                <w:szCs w:val="18"/>
              </w:rPr>
              <w:t>9</w:t>
            </w:r>
          </w:p>
        </w:tc>
        <w:tc>
          <w:tcPr>
            <w:tcW w:w="727" w:type="dxa"/>
            <w:shd w:val="clear" w:color="auto" w:fill="auto"/>
            <w:vAlign w:val="center"/>
          </w:tcPr>
          <w:p>
            <w:pPr>
              <w:adjustRightInd w:val="0"/>
              <w:snapToGrid w:val="0"/>
              <w:jc w:val="center"/>
              <w:rPr>
                <w:szCs w:val="18"/>
              </w:rPr>
            </w:pPr>
            <w:r>
              <w:rPr>
                <w:rFonts w:hint="eastAsia"/>
                <w:szCs w:val="18"/>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Merge w:val="restart"/>
            <w:shd w:val="clear" w:color="auto" w:fill="auto"/>
            <w:vAlign w:val="center"/>
          </w:tcPr>
          <w:p>
            <w:pPr>
              <w:adjustRightInd w:val="0"/>
              <w:snapToGrid w:val="0"/>
              <w:jc w:val="center"/>
              <w:rPr>
                <w:szCs w:val="18"/>
              </w:rPr>
            </w:pPr>
            <w:r>
              <w:rPr>
                <w:rFonts w:hint="eastAsia"/>
                <w:szCs w:val="18"/>
              </w:rPr>
              <w:t>频率</w:t>
            </w:r>
          </w:p>
        </w:tc>
        <w:tc>
          <w:tcPr>
            <w:tcW w:w="676" w:type="dxa"/>
            <w:shd w:val="clear" w:color="auto" w:fill="auto"/>
            <w:vAlign w:val="center"/>
          </w:tcPr>
          <w:p>
            <w:pPr>
              <w:adjustRightInd w:val="0"/>
              <w:snapToGrid w:val="0"/>
              <w:jc w:val="center"/>
              <w:rPr>
                <w:szCs w:val="18"/>
              </w:rPr>
            </w:pPr>
            <w:r>
              <w:rPr>
                <w:rFonts w:hint="eastAsia"/>
                <w:szCs w:val="18"/>
              </w:rPr>
              <w:t>8Hz</w:t>
            </w:r>
          </w:p>
        </w:tc>
        <w:tc>
          <w:tcPr>
            <w:tcW w:w="727" w:type="dxa"/>
            <w:shd w:val="clear" w:color="auto" w:fill="auto"/>
            <w:vAlign w:val="center"/>
          </w:tcPr>
          <w:p>
            <w:pPr>
              <w:adjustRightInd w:val="0"/>
              <w:snapToGrid w:val="0"/>
              <w:jc w:val="center"/>
              <w:rPr>
                <w:szCs w:val="18"/>
              </w:rPr>
            </w:pPr>
            <w:r>
              <w:rPr>
                <w:rFonts w:hint="eastAsia"/>
                <w:szCs w:val="18"/>
              </w:rPr>
              <w:t>2.07</w:t>
            </w:r>
          </w:p>
        </w:tc>
        <w:tc>
          <w:tcPr>
            <w:tcW w:w="727" w:type="dxa"/>
            <w:shd w:val="clear" w:color="auto" w:fill="auto"/>
            <w:vAlign w:val="center"/>
          </w:tcPr>
          <w:p>
            <w:pPr>
              <w:adjustRightInd w:val="0"/>
              <w:snapToGrid w:val="0"/>
              <w:jc w:val="center"/>
              <w:rPr>
                <w:szCs w:val="18"/>
              </w:rPr>
            </w:pPr>
            <w:r>
              <w:rPr>
                <w:rFonts w:hint="eastAsia"/>
                <w:szCs w:val="18"/>
              </w:rPr>
              <w:t>2.02</w:t>
            </w:r>
          </w:p>
        </w:tc>
        <w:tc>
          <w:tcPr>
            <w:tcW w:w="727" w:type="dxa"/>
            <w:shd w:val="clear" w:color="auto" w:fill="auto"/>
            <w:vAlign w:val="center"/>
          </w:tcPr>
          <w:p>
            <w:pPr>
              <w:adjustRightInd w:val="0"/>
              <w:snapToGrid w:val="0"/>
              <w:jc w:val="center"/>
              <w:rPr>
                <w:szCs w:val="18"/>
              </w:rPr>
            </w:pPr>
            <w:r>
              <w:rPr>
                <w:rFonts w:hint="eastAsia"/>
                <w:szCs w:val="18"/>
              </w:rPr>
              <w:t>2.11</w:t>
            </w:r>
          </w:p>
        </w:tc>
        <w:tc>
          <w:tcPr>
            <w:tcW w:w="727" w:type="dxa"/>
            <w:shd w:val="clear" w:color="auto" w:fill="auto"/>
            <w:vAlign w:val="center"/>
          </w:tcPr>
          <w:p>
            <w:pPr>
              <w:adjustRightInd w:val="0"/>
              <w:snapToGrid w:val="0"/>
              <w:jc w:val="center"/>
              <w:rPr>
                <w:szCs w:val="18"/>
              </w:rPr>
            </w:pPr>
            <w:r>
              <w:rPr>
                <w:rFonts w:hint="eastAsia"/>
                <w:szCs w:val="18"/>
              </w:rPr>
              <w:t>1.99</w:t>
            </w:r>
          </w:p>
        </w:tc>
        <w:tc>
          <w:tcPr>
            <w:tcW w:w="727" w:type="dxa"/>
            <w:shd w:val="clear" w:color="auto" w:fill="auto"/>
            <w:vAlign w:val="center"/>
          </w:tcPr>
          <w:p>
            <w:pPr>
              <w:adjustRightInd w:val="0"/>
              <w:snapToGrid w:val="0"/>
              <w:jc w:val="center"/>
              <w:rPr>
                <w:szCs w:val="18"/>
              </w:rPr>
            </w:pPr>
            <w:r>
              <w:rPr>
                <w:rFonts w:hint="eastAsia"/>
                <w:szCs w:val="18"/>
              </w:rPr>
              <w:t>1.93</w:t>
            </w:r>
          </w:p>
        </w:tc>
        <w:tc>
          <w:tcPr>
            <w:tcW w:w="727" w:type="dxa"/>
            <w:shd w:val="clear" w:color="auto" w:fill="auto"/>
            <w:vAlign w:val="center"/>
          </w:tcPr>
          <w:p>
            <w:pPr>
              <w:adjustRightInd w:val="0"/>
              <w:snapToGrid w:val="0"/>
              <w:jc w:val="center"/>
              <w:rPr>
                <w:szCs w:val="18"/>
              </w:rPr>
            </w:pPr>
            <w:r>
              <w:rPr>
                <w:rFonts w:hint="eastAsia"/>
                <w:szCs w:val="18"/>
              </w:rPr>
              <w:t>1.97</w:t>
            </w:r>
          </w:p>
        </w:tc>
        <w:tc>
          <w:tcPr>
            <w:tcW w:w="727" w:type="dxa"/>
            <w:shd w:val="clear" w:color="auto" w:fill="auto"/>
            <w:vAlign w:val="center"/>
          </w:tcPr>
          <w:p>
            <w:pPr>
              <w:adjustRightInd w:val="0"/>
              <w:snapToGrid w:val="0"/>
              <w:jc w:val="center"/>
              <w:rPr>
                <w:szCs w:val="18"/>
              </w:rPr>
            </w:pPr>
            <w:r>
              <w:rPr>
                <w:rFonts w:hint="eastAsia"/>
                <w:szCs w:val="18"/>
              </w:rPr>
              <w:t>2.03</w:t>
            </w:r>
          </w:p>
        </w:tc>
        <w:tc>
          <w:tcPr>
            <w:tcW w:w="727" w:type="dxa"/>
            <w:shd w:val="clear" w:color="auto" w:fill="auto"/>
            <w:vAlign w:val="center"/>
          </w:tcPr>
          <w:p>
            <w:pPr>
              <w:adjustRightInd w:val="0"/>
              <w:snapToGrid w:val="0"/>
              <w:jc w:val="center"/>
              <w:rPr>
                <w:szCs w:val="18"/>
              </w:rPr>
            </w:pPr>
            <w:r>
              <w:rPr>
                <w:rFonts w:hint="eastAsia"/>
                <w:szCs w:val="18"/>
              </w:rPr>
              <w:t>2.04</w:t>
            </w:r>
          </w:p>
        </w:tc>
        <w:tc>
          <w:tcPr>
            <w:tcW w:w="727" w:type="dxa"/>
            <w:shd w:val="clear" w:color="auto" w:fill="auto"/>
            <w:vAlign w:val="center"/>
          </w:tcPr>
          <w:p>
            <w:pPr>
              <w:adjustRightInd w:val="0"/>
              <w:snapToGrid w:val="0"/>
              <w:jc w:val="center"/>
              <w:rPr>
                <w:szCs w:val="18"/>
              </w:rPr>
            </w:pPr>
            <w:r>
              <w:rPr>
                <w:rFonts w:hint="eastAsia"/>
                <w:szCs w:val="18"/>
              </w:rPr>
              <w:t>2.01</w:t>
            </w:r>
          </w:p>
        </w:tc>
        <w:tc>
          <w:tcPr>
            <w:tcW w:w="727" w:type="dxa"/>
            <w:shd w:val="clear" w:color="auto" w:fill="auto"/>
            <w:vAlign w:val="center"/>
          </w:tcPr>
          <w:p>
            <w:pPr>
              <w:adjustRightInd w:val="0"/>
              <w:snapToGrid w:val="0"/>
              <w:jc w:val="center"/>
              <w:rPr>
                <w:szCs w:val="18"/>
              </w:rPr>
            </w:pPr>
            <w:r>
              <w:rPr>
                <w:rFonts w:hint="eastAsia"/>
                <w:szCs w:val="18"/>
              </w:rPr>
              <w:t>2.02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76" w:type="dxa"/>
            <w:vMerge w:val="continue"/>
            <w:shd w:val="clear" w:color="auto" w:fill="auto"/>
            <w:vAlign w:val="center"/>
          </w:tcPr>
          <w:p>
            <w:pPr>
              <w:adjustRightInd w:val="0"/>
              <w:snapToGrid w:val="0"/>
              <w:jc w:val="center"/>
              <w:rPr>
                <w:szCs w:val="18"/>
              </w:rPr>
            </w:pPr>
          </w:p>
        </w:tc>
        <w:tc>
          <w:tcPr>
            <w:tcW w:w="676" w:type="dxa"/>
            <w:shd w:val="clear" w:color="auto" w:fill="auto"/>
            <w:vAlign w:val="center"/>
          </w:tcPr>
          <w:p>
            <w:pPr>
              <w:adjustRightInd w:val="0"/>
              <w:snapToGrid w:val="0"/>
              <w:jc w:val="center"/>
              <w:rPr>
                <w:szCs w:val="18"/>
              </w:rPr>
            </w:pPr>
            <w:r>
              <w:rPr>
                <w:rFonts w:hint="eastAsia"/>
                <w:szCs w:val="18"/>
              </w:rPr>
              <w:t>16Hz</w:t>
            </w:r>
          </w:p>
        </w:tc>
        <w:tc>
          <w:tcPr>
            <w:tcW w:w="727" w:type="dxa"/>
            <w:shd w:val="clear" w:color="auto" w:fill="auto"/>
            <w:vAlign w:val="center"/>
          </w:tcPr>
          <w:p>
            <w:pPr>
              <w:adjustRightInd w:val="0"/>
              <w:snapToGrid w:val="0"/>
              <w:jc w:val="center"/>
              <w:rPr>
                <w:szCs w:val="18"/>
              </w:rPr>
            </w:pPr>
            <w:r>
              <w:rPr>
                <w:rFonts w:hint="eastAsia"/>
                <w:szCs w:val="18"/>
              </w:rPr>
              <w:t>2.01</w:t>
            </w:r>
          </w:p>
        </w:tc>
        <w:tc>
          <w:tcPr>
            <w:tcW w:w="727" w:type="dxa"/>
            <w:shd w:val="clear" w:color="auto" w:fill="auto"/>
            <w:vAlign w:val="center"/>
          </w:tcPr>
          <w:p>
            <w:pPr>
              <w:adjustRightInd w:val="0"/>
              <w:snapToGrid w:val="0"/>
              <w:jc w:val="center"/>
              <w:rPr>
                <w:szCs w:val="18"/>
              </w:rPr>
            </w:pPr>
            <w:r>
              <w:rPr>
                <w:rFonts w:hint="eastAsia"/>
                <w:szCs w:val="18"/>
              </w:rPr>
              <w:t>2.09</w:t>
            </w:r>
          </w:p>
        </w:tc>
        <w:tc>
          <w:tcPr>
            <w:tcW w:w="727" w:type="dxa"/>
            <w:shd w:val="clear" w:color="auto" w:fill="auto"/>
            <w:vAlign w:val="center"/>
          </w:tcPr>
          <w:p>
            <w:pPr>
              <w:adjustRightInd w:val="0"/>
              <w:snapToGrid w:val="0"/>
              <w:jc w:val="center"/>
              <w:rPr>
                <w:szCs w:val="18"/>
              </w:rPr>
            </w:pPr>
            <w:r>
              <w:rPr>
                <w:rFonts w:hint="eastAsia"/>
                <w:szCs w:val="18"/>
              </w:rPr>
              <w:t>2.03</w:t>
            </w:r>
          </w:p>
        </w:tc>
        <w:tc>
          <w:tcPr>
            <w:tcW w:w="727" w:type="dxa"/>
            <w:shd w:val="clear" w:color="auto" w:fill="auto"/>
            <w:vAlign w:val="center"/>
          </w:tcPr>
          <w:p>
            <w:pPr>
              <w:adjustRightInd w:val="0"/>
              <w:snapToGrid w:val="0"/>
              <w:jc w:val="center"/>
              <w:rPr>
                <w:szCs w:val="18"/>
              </w:rPr>
            </w:pPr>
            <w:r>
              <w:rPr>
                <w:rFonts w:hint="eastAsia"/>
                <w:szCs w:val="18"/>
              </w:rPr>
              <w:t>1.99</w:t>
            </w:r>
          </w:p>
        </w:tc>
        <w:tc>
          <w:tcPr>
            <w:tcW w:w="727" w:type="dxa"/>
            <w:shd w:val="clear" w:color="auto" w:fill="auto"/>
            <w:vAlign w:val="center"/>
          </w:tcPr>
          <w:p>
            <w:pPr>
              <w:adjustRightInd w:val="0"/>
              <w:snapToGrid w:val="0"/>
              <w:jc w:val="center"/>
              <w:rPr>
                <w:szCs w:val="18"/>
              </w:rPr>
            </w:pPr>
            <w:r>
              <w:rPr>
                <w:rFonts w:hint="eastAsia"/>
                <w:szCs w:val="18"/>
              </w:rPr>
              <w:t>1.98</w:t>
            </w:r>
          </w:p>
        </w:tc>
        <w:tc>
          <w:tcPr>
            <w:tcW w:w="727" w:type="dxa"/>
            <w:shd w:val="clear" w:color="auto" w:fill="auto"/>
            <w:vAlign w:val="center"/>
          </w:tcPr>
          <w:p>
            <w:pPr>
              <w:adjustRightInd w:val="0"/>
              <w:snapToGrid w:val="0"/>
              <w:jc w:val="center"/>
              <w:rPr>
                <w:szCs w:val="18"/>
              </w:rPr>
            </w:pPr>
            <w:r>
              <w:rPr>
                <w:rFonts w:hint="eastAsia"/>
                <w:szCs w:val="18"/>
              </w:rPr>
              <w:t>2.01</w:t>
            </w:r>
          </w:p>
        </w:tc>
        <w:tc>
          <w:tcPr>
            <w:tcW w:w="727" w:type="dxa"/>
            <w:shd w:val="clear" w:color="auto" w:fill="auto"/>
            <w:vAlign w:val="center"/>
          </w:tcPr>
          <w:p>
            <w:pPr>
              <w:adjustRightInd w:val="0"/>
              <w:snapToGrid w:val="0"/>
              <w:jc w:val="center"/>
              <w:rPr>
                <w:szCs w:val="18"/>
              </w:rPr>
            </w:pPr>
            <w:r>
              <w:rPr>
                <w:rFonts w:hint="eastAsia"/>
                <w:szCs w:val="18"/>
              </w:rPr>
              <w:t>2.06</w:t>
            </w:r>
          </w:p>
        </w:tc>
        <w:tc>
          <w:tcPr>
            <w:tcW w:w="727" w:type="dxa"/>
            <w:shd w:val="clear" w:color="auto" w:fill="auto"/>
            <w:vAlign w:val="center"/>
          </w:tcPr>
          <w:p>
            <w:pPr>
              <w:adjustRightInd w:val="0"/>
              <w:snapToGrid w:val="0"/>
              <w:jc w:val="center"/>
              <w:rPr>
                <w:szCs w:val="18"/>
              </w:rPr>
            </w:pPr>
            <w:r>
              <w:rPr>
                <w:rFonts w:hint="eastAsia"/>
                <w:szCs w:val="18"/>
              </w:rPr>
              <w:t>2.01</w:t>
            </w:r>
          </w:p>
        </w:tc>
        <w:tc>
          <w:tcPr>
            <w:tcW w:w="727" w:type="dxa"/>
            <w:shd w:val="clear" w:color="auto" w:fill="auto"/>
            <w:vAlign w:val="center"/>
          </w:tcPr>
          <w:p>
            <w:pPr>
              <w:adjustRightInd w:val="0"/>
              <w:snapToGrid w:val="0"/>
              <w:jc w:val="center"/>
              <w:rPr>
                <w:szCs w:val="18"/>
              </w:rPr>
            </w:pPr>
            <w:r>
              <w:rPr>
                <w:rFonts w:hint="eastAsia"/>
                <w:szCs w:val="18"/>
              </w:rPr>
              <w:t>2.03</w:t>
            </w:r>
          </w:p>
        </w:tc>
        <w:tc>
          <w:tcPr>
            <w:tcW w:w="727" w:type="dxa"/>
            <w:shd w:val="clear" w:color="auto" w:fill="auto"/>
            <w:vAlign w:val="center"/>
          </w:tcPr>
          <w:p>
            <w:pPr>
              <w:adjustRightInd w:val="0"/>
              <w:snapToGrid w:val="0"/>
              <w:jc w:val="center"/>
              <w:rPr>
                <w:szCs w:val="18"/>
              </w:rPr>
            </w:pPr>
            <w:r>
              <w:rPr>
                <w:rFonts w:hint="eastAsia"/>
                <w:szCs w:val="18"/>
              </w:rPr>
              <w:t>1.95</w:t>
            </w:r>
          </w:p>
        </w:tc>
      </w:tr>
    </w:tbl>
    <w:p>
      <w:pPr>
        <w:adjustRightInd w:val="0"/>
        <w:snapToGrid w:val="0"/>
        <w:spacing w:line="360" w:lineRule="auto"/>
        <w:ind w:firstLine="480" w:firstLineChars="200"/>
        <w:rPr>
          <w:sz w:val="24"/>
        </w:rPr>
      </w:pPr>
      <w:r>
        <w:rPr>
          <w:rFonts w:hint="eastAsia"/>
          <w:sz w:val="24"/>
        </w:rPr>
        <w:t>单次测量试验标准差</w:t>
      </w:r>
      <w:r>
        <w:rPr>
          <w:position w:val="-24"/>
          <w:sz w:val="24"/>
        </w:rPr>
        <w:object>
          <v:shape id="_x0000_i1053" o:spt="75" type="#_x0000_t75" style="height:35.25pt;width:92.25pt;" o:ole="t" filled="f" o:preferrelative="t" stroked="f" coordsize="21600,21600">
            <v:path/>
            <v:fill on="f" focussize="0,0"/>
            <v:stroke on="f" joinstyle="miter"/>
            <v:imagedata r:id="rId62" o:title=""/>
            <o:lock v:ext="edit" aspectratio="t"/>
            <w10:wrap type="none"/>
            <w10:anchorlock/>
          </v:shape>
          <o:OLEObject Type="Embed" ProgID="Equation.DSMT4" ShapeID="_x0000_i1053" DrawAspect="Content" ObjectID="_1468075753" r:id="rId61">
            <o:LockedField>false</o:LockedField>
          </o:OLEObject>
        </w:object>
      </w:r>
    </w:p>
    <w:p>
      <w:pPr>
        <w:adjustRightInd w:val="0"/>
        <w:snapToGrid w:val="0"/>
        <w:spacing w:line="360" w:lineRule="auto"/>
        <w:ind w:firstLine="480" w:firstLineChars="200"/>
        <w:rPr>
          <w:sz w:val="24"/>
        </w:rPr>
      </w:pPr>
      <w:r>
        <w:rPr>
          <w:rFonts w:hint="eastAsia"/>
          <w:sz w:val="24"/>
        </w:rPr>
        <w:t>测量重复性导致的测量结果的A类标准不确定度为</w:t>
      </w:r>
      <w:r>
        <w:rPr>
          <w:position w:val="-26"/>
          <w:sz w:val="24"/>
        </w:rPr>
        <w:object>
          <v:shape id="_x0000_i1054" o:spt="75" type="#_x0000_t75" style="height:30pt;width:51.75pt;" o:ole="t" filled="f" o:preferrelative="t" stroked="f" coordsize="21600,21600">
            <v:path/>
            <v:fill on="f" focussize="0,0"/>
            <v:stroke on="f" joinstyle="miter"/>
            <v:imagedata r:id="rId64" o:title=""/>
            <o:lock v:ext="edit" aspectratio="t"/>
            <w10:wrap type="none"/>
            <w10:anchorlock/>
          </v:shape>
          <o:OLEObject Type="Embed" ProgID="Equation.DSMT4" ShapeID="_x0000_i1054" DrawAspect="Content" ObjectID="_1468075754" r:id="rId63">
            <o:LockedField>false</o:LockedField>
          </o:OLEObject>
        </w:object>
      </w:r>
    </w:p>
    <w:p>
      <w:pPr>
        <w:adjustRightInd w:val="0"/>
        <w:snapToGrid w:val="0"/>
        <w:spacing w:line="360" w:lineRule="auto"/>
        <w:ind w:firstLine="480" w:firstLineChars="200"/>
        <w:rPr>
          <w:sz w:val="24"/>
        </w:rPr>
      </w:pPr>
      <w:r>
        <w:rPr>
          <w:rFonts w:hint="eastAsia"/>
          <w:sz w:val="24"/>
        </w:rPr>
        <w:t>算术平均值的测量相对标准不确定度</w:t>
      </w:r>
      <w:r>
        <w:rPr>
          <w:position w:val="-24"/>
          <w:sz w:val="24"/>
        </w:rPr>
        <w:object>
          <v:shape id="_x0000_i1055" o:spt="75" type="#_x0000_t75" style="height:29.25pt;width:72.75pt;" o:ole="t" filled="f" o:preferrelative="t" stroked="f" coordsize="21600,21600">
            <v:path/>
            <v:fill on="f" focussize="0,0"/>
            <v:stroke on="f" joinstyle="miter"/>
            <v:imagedata r:id="rId66" o:title=""/>
            <o:lock v:ext="edit" aspectratio="t"/>
            <w10:wrap type="none"/>
            <w10:anchorlock/>
          </v:shape>
          <o:OLEObject Type="Embed" ProgID="Equation.DSMT4" ShapeID="_x0000_i1055" DrawAspect="Content" ObjectID="_1468075755" r:id="rId65">
            <o:LockedField>false</o:LockedField>
          </o:OLEObject>
        </w:object>
      </w:r>
    </w:p>
    <w:tbl>
      <w:tblPr>
        <w:tblStyle w:val="9"/>
        <w:tblW w:w="46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62"/>
        <w:gridCol w:w="918"/>
        <w:gridCol w:w="9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62" w:type="dxa"/>
            <w:vAlign w:val="center"/>
          </w:tcPr>
          <w:p>
            <w:pPr>
              <w:adjustRightInd w:val="0"/>
              <w:snapToGrid w:val="0"/>
              <w:jc w:val="center"/>
              <w:rPr>
                <w:szCs w:val="21"/>
              </w:rPr>
            </w:pPr>
            <w:r>
              <w:rPr>
                <w:rFonts w:hint="eastAsia"/>
                <w:szCs w:val="21"/>
              </w:rPr>
              <w:t>频率(H</w:t>
            </w:r>
            <w:r>
              <w:rPr>
                <w:szCs w:val="21"/>
              </w:rPr>
              <w:t>z</w:t>
            </w:r>
            <w:r>
              <w:rPr>
                <w:rFonts w:hint="eastAsia"/>
                <w:szCs w:val="21"/>
              </w:rPr>
              <w:t>)</w:t>
            </w:r>
          </w:p>
        </w:tc>
        <w:tc>
          <w:tcPr>
            <w:tcW w:w="918" w:type="dxa"/>
            <w:shd w:val="clear" w:color="auto" w:fill="auto"/>
            <w:vAlign w:val="center"/>
          </w:tcPr>
          <w:p>
            <w:pPr>
              <w:adjustRightInd w:val="0"/>
              <w:snapToGrid w:val="0"/>
              <w:jc w:val="center"/>
              <w:rPr>
                <w:szCs w:val="21"/>
              </w:rPr>
            </w:pPr>
            <w:r>
              <w:rPr>
                <w:rFonts w:hint="eastAsia"/>
                <w:szCs w:val="21"/>
              </w:rPr>
              <w:t>8</w:t>
            </w:r>
          </w:p>
        </w:tc>
        <w:tc>
          <w:tcPr>
            <w:tcW w:w="918" w:type="dxa"/>
            <w:vAlign w:val="center"/>
          </w:tcPr>
          <w:p>
            <w:pPr>
              <w:adjustRightInd w:val="0"/>
              <w:snapToGrid w:val="0"/>
              <w:jc w:val="center"/>
              <w:rPr>
                <w:szCs w:val="21"/>
              </w:rPr>
            </w:pPr>
            <w:r>
              <w:rPr>
                <w:rFonts w:hint="eastAsia"/>
                <w:szCs w:val="21"/>
              </w:rPr>
              <w:t>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62" w:type="dxa"/>
            <w:vAlign w:val="center"/>
          </w:tcPr>
          <w:p>
            <w:pPr>
              <w:adjustRightInd w:val="0"/>
              <w:snapToGrid w:val="0"/>
              <w:jc w:val="center"/>
              <w:rPr>
                <w:szCs w:val="21"/>
              </w:rPr>
            </w:pPr>
            <w:r>
              <w:rPr>
                <w:rFonts w:hint="eastAsia"/>
                <w:szCs w:val="21"/>
              </w:rPr>
              <w:t>实验标准差</w:t>
            </w:r>
            <w:r>
              <w:rPr>
                <w:rFonts w:hint="eastAsia"/>
                <w:i/>
                <w:szCs w:val="21"/>
              </w:rPr>
              <w:t>u</w:t>
            </w:r>
            <w:r>
              <w:rPr>
                <w:rFonts w:hint="eastAsia"/>
                <w:szCs w:val="21"/>
              </w:rPr>
              <w:t>(x)</w:t>
            </w:r>
          </w:p>
        </w:tc>
        <w:tc>
          <w:tcPr>
            <w:tcW w:w="918" w:type="dxa"/>
            <w:shd w:val="clear" w:color="auto" w:fill="auto"/>
            <w:vAlign w:val="center"/>
          </w:tcPr>
          <w:p>
            <w:pPr>
              <w:adjustRightInd w:val="0"/>
              <w:snapToGrid w:val="0"/>
              <w:jc w:val="center"/>
              <w:rPr>
                <w:szCs w:val="21"/>
              </w:rPr>
            </w:pPr>
            <w:r>
              <w:rPr>
                <w:rFonts w:hint="eastAsia"/>
                <w:szCs w:val="21"/>
              </w:rPr>
              <w:t>0.022</w:t>
            </w:r>
          </w:p>
        </w:tc>
        <w:tc>
          <w:tcPr>
            <w:tcW w:w="918" w:type="dxa"/>
            <w:vAlign w:val="center"/>
          </w:tcPr>
          <w:p>
            <w:pPr>
              <w:adjustRightInd w:val="0"/>
              <w:snapToGrid w:val="0"/>
              <w:jc w:val="center"/>
              <w:rPr>
                <w:szCs w:val="21"/>
              </w:rPr>
            </w:pPr>
            <w:r>
              <w:rPr>
                <w:rFonts w:hint="eastAsia"/>
                <w:szCs w:val="21"/>
              </w:rPr>
              <w:t>0.019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2862" w:type="dxa"/>
            <w:vAlign w:val="center"/>
          </w:tcPr>
          <w:p>
            <w:pPr>
              <w:adjustRightInd w:val="0"/>
              <w:snapToGrid w:val="0"/>
              <w:jc w:val="center"/>
              <w:rPr>
                <w:szCs w:val="21"/>
              </w:rPr>
            </w:pPr>
            <w:r>
              <w:rPr>
                <w:rFonts w:hint="eastAsia"/>
                <w:szCs w:val="21"/>
              </w:rPr>
              <w:t>平均值实验标准差</w:t>
            </w:r>
            <w:r>
              <w:rPr>
                <w:rFonts w:hint="eastAsia"/>
                <w:i/>
                <w:szCs w:val="21"/>
              </w:rPr>
              <w:t>u</w:t>
            </w:r>
            <w:r>
              <w:rPr>
                <w:szCs w:val="21"/>
              </w:rPr>
              <w:t>(</w:t>
            </w:r>
            <w:r>
              <w:rPr>
                <w:rFonts w:hint="eastAsia"/>
                <w:szCs w:val="21"/>
              </w:rPr>
              <w:t>x</w:t>
            </w:r>
            <w:r>
              <w:rPr>
                <w:szCs w:val="21"/>
              </w:rPr>
              <w:t>)</w:t>
            </w:r>
          </w:p>
        </w:tc>
        <w:tc>
          <w:tcPr>
            <w:tcW w:w="918" w:type="dxa"/>
            <w:shd w:val="clear" w:color="auto" w:fill="auto"/>
            <w:vAlign w:val="center"/>
          </w:tcPr>
          <w:p>
            <w:pPr>
              <w:adjustRightInd w:val="0"/>
              <w:snapToGrid w:val="0"/>
              <w:jc w:val="center"/>
              <w:rPr>
                <w:szCs w:val="21"/>
              </w:rPr>
            </w:pPr>
            <w:r>
              <w:rPr>
                <w:rFonts w:hint="eastAsia"/>
                <w:szCs w:val="21"/>
              </w:rPr>
              <w:t>0.016</w:t>
            </w:r>
          </w:p>
        </w:tc>
        <w:tc>
          <w:tcPr>
            <w:tcW w:w="918" w:type="dxa"/>
            <w:vAlign w:val="center"/>
          </w:tcPr>
          <w:p>
            <w:pPr>
              <w:adjustRightInd w:val="0"/>
              <w:snapToGrid w:val="0"/>
              <w:jc w:val="center"/>
              <w:rPr>
                <w:szCs w:val="21"/>
              </w:rPr>
            </w:pPr>
            <w:r>
              <w:rPr>
                <w:rFonts w:hint="eastAsia"/>
                <w:szCs w:val="21"/>
              </w:rPr>
              <w:t>0.013</w:t>
            </w:r>
          </w:p>
        </w:tc>
      </w:tr>
    </w:tbl>
    <w:p>
      <w:pPr>
        <w:adjustRightInd w:val="0"/>
        <w:snapToGrid w:val="0"/>
        <w:spacing w:line="360" w:lineRule="auto"/>
        <w:rPr>
          <w:rFonts w:eastAsia="黑体"/>
          <w:sz w:val="24"/>
        </w:rPr>
      </w:pPr>
      <w:r>
        <w:rPr>
          <w:rFonts w:hint="eastAsia" w:eastAsia="黑体"/>
          <w:sz w:val="24"/>
        </w:rPr>
        <w:t xml:space="preserve">B4  </w:t>
      </w:r>
      <w:r>
        <w:rPr>
          <w:rFonts w:hint="eastAsia" w:hAnsi="黑体" w:eastAsia="黑体"/>
          <w:sz w:val="24"/>
        </w:rPr>
        <w:t>合成标准不确定度的评定</w:t>
      </w:r>
    </w:p>
    <w:p>
      <w:pPr>
        <w:adjustRightInd w:val="0"/>
        <w:snapToGrid w:val="0"/>
        <w:spacing w:line="360" w:lineRule="auto"/>
        <w:jc w:val="center"/>
        <w:rPr>
          <w:sz w:val="24"/>
        </w:rPr>
      </w:pPr>
      <w:r>
        <w:rPr>
          <w:rFonts w:hint="eastAsia"/>
          <w:sz w:val="24"/>
        </w:rPr>
        <w:t>8Hz：</w:t>
      </w:r>
      <w:r>
        <w:rPr>
          <w:position w:val="-26"/>
          <w:sz w:val="24"/>
        </w:rPr>
        <w:object>
          <v:shape id="_x0000_i1056" o:spt="75" type="#_x0000_t75" style="height:27pt;width:156.75pt;" o:ole="t" filled="f" o:preferrelative="t" stroked="f" coordsize="21600,21600">
            <v:path/>
            <v:fill on="f" focussize="0,0"/>
            <v:stroke on="f" joinstyle="miter"/>
            <v:imagedata r:id="rId68" o:title=""/>
            <o:lock v:ext="edit" aspectratio="t"/>
            <w10:wrap type="none"/>
            <w10:anchorlock/>
          </v:shape>
          <o:OLEObject Type="Embed" ProgID="Equation.DSMT4" ShapeID="_x0000_i1056" DrawAspect="Content" ObjectID="_1468075756" r:id="rId67">
            <o:LockedField>false</o:LockedField>
          </o:OLEObject>
        </w:object>
      </w:r>
    </w:p>
    <w:p>
      <w:pPr>
        <w:adjustRightInd w:val="0"/>
        <w:snapToGrid w:val="0"/>
        <w:spacing w:line="360" w:lineRule="auto"/>
        <w:jc w:val="center"/>
        <w:rPr>
          <w:sz w:val="24"/>
        </w:rPr>
      </w:pPr>
      <w:r>
        <w:rPr>
          <w:rFonts w:hint="eastAsia"/>
          <w:sz w:val="24"/>
        </w:rPr>
        <w:t>16Hz：</w:t>
      </w:r>
      <w:r>
        <w:rPr>
          <w:position w:val="-26"/>
          <w:sz w:val="24"/>
        </w:rPr>
        <w:object>
          <v:shape id="_x0000_i1057" o:spt="75" type="#_x0000_t75" style="height:27pt;width:147pt;" o:ole="t" filled="f" o:preferrelative="t" stroked="f" coordsize="21600,21600">
            <v:path/>
            <v:fill on="f" focussize="0,0"/>
            <v:stroke on="f" joinstyle="miter"/>
            <v:imagedata r:id="rId70" o:title=""/>
            <o:lock v:ext="edit" aspectratio="t"/>
            <w10:wrap type="none"/>
            <w10:anchorlock/>
          </v:shape>
          <o:OLEObject Type="Embed" ProgID="Equation.DSMT4" ShapeID="_x0000_i1057" DrawAspect="Content" ObjectID="_1468075757" r:id="rId69">
            <o:LockedField>false</o:LockedField>
          </o:OLEObject>
        </w:object>
      </w:r>
    </w:p>
    <w:p>
      <w:pPr>
        <w:adjustRightInd w:val="0"/>
        <w:snapToGrid w:val="0"/>
        <w:spacing w:line="360" w:lineRule="auto"/>
        <w:rPr>
          <w:rFonts w:eastAsia="黑体"/>
          <w:sz w:val="24"/>
        </w:rPr>
      </w:pPr>
      <w:r>
        <w:rPr>
          <w:rFonts w:hint="eastAsia" w:eastAsia="黑体"/>
          <w:sz w:val="24"/>
        </w:rPr>
        <w:t xml:space="preserve">B5  </w:t>
      </w:r>
      <w:r>
        <w:rPr>
          <w:rFonts w:hint="eastAsia" w:hAnsi="黑体" w:eastAsia="黑体"/>
          <w:sz w:val="24"/>
        </w:rPr>
        <w:t>扩展不确定度的评定</w:t>
      </w:r>
    </w:p>
    <w:p>
      <w:pPr>
        <w:adjustRightInd w:val="0"/>
        <w:snapToGrid w:val="0"/>
        <w:spacing w:line="360" w:lineRule="auto"/>
        <w:ind w:firstLine="480" w:firstLineChars="200"/>
        <w:rPr>
          <w:sz w:val="24"/>
        </w:rPr>
      </w:pPr>
      <w:r>
        <w:rPr>
          <w:sz w:val="24"/>
        </w:rPr>
        <w:t>按照ISO/FDIS16063-21的要求，取包含因子</w:t>
      </w:r>
      <w:r>
        <w:rPr>
          <w:rFonts w:hint="eastAsia"/>
          <w:i/>
          <w:sz w:val="24"/>
        </w:rPr>
        <w:t>k</w:t>
      </w:r>
      <w:r>
        <w:rPr>
          <w:rFonts w:hint="eastAsia"/>
          <w:sz w:val="24"/>
        </w:rPr>
        <w:t>=2</w:t>
      </w:r>
      <w:r>
        <w:rPr>
          <w:sz w:val="24"/>
        </w:rPr>
        <w:t>，得到被校</w:t>
      </w:r>
      <w:r>
        <w:rPr>
          <w:rFonts w:hint="eastAsia"/>
          <w:sz w:val="24"/>
        </w:rPr>
        <w:t>测试仪加速度测量</w:t>
      </w:r>
      <w:r>
        <w:rPr>
          <w:sz w:val="24"/>
        </w:rPr>
        <w:t>的相对扩展不确定度为</w:t>
      </w:r>
      <w:r>
        <w:rPr>
          <w:rFonts w:hint="eastAsia"/>
          <w:sz w:val="24"/>
        </w:rPr>
        <w:t>：</w:t>
      </w:r>
    </w:p>
    <w:p>
      <w:pPr>
        <w:adjustRightInd w:val="0"/>
        <w:snapToGrid w:val="0"/>
        <w:spacing w:line="360" w:lineRule="auto"/>
        <w:jc w:val="center"/>
        <w:rPr>
          <w:sz w:val="24"/>
        </w:rPr>
      </w:pPr>
      <w:r>
        <w:rPr>
          <w:rFonts w:hint="eastAsia"/>
          <w:sz w:val="24"/>
        </w:rPr>
        <w:t>8Hz：</w:t>
      </w:r>
      <w:r>
        <w:rPr>
          <w:position w:val="-10"/>
          <w:sz w:val="24"/>
        </w:rPr>
        <w:object>
          <v:shape id="_x0000_i1058" o:spt="75" type="#_x0000_t75" style="height:15.75pt;width:146.25pt;" o:ole="t" filled="f" o:preferrelative="t" stroked="f" coordsize="21600,21600">
            <v:path/>
            <v:fill on="f" focussize="0,0"/>
            <v:stroke on="f" joinstyle="miter"/>
            <v:imagedata r:id="rId72" o:title=""/>
            <o:lock v:ext="edit" aspectratio="t"/>
            <w10:wrap type="none"/>
            <w10:anchorlock/>
          </v:shape>
          <o:OLEObject Type="Embed" ProgID="Equation.DSMT4" ShapeID="_x0000_i1058" DrawAspect="Content" ObjectID="_1468075758" r:id="rId71">
            <o:LockedField>false</o:LockedField>
          </o:OLEObject>
        </w:object>
      </w:r>
    </w:p>
    <w:p>
      <w:pPr>
        <w:spacing w:line="360" w:lineRule="auto"/>
        <w:jc w:val="center"/>
        <w:rPr>
          <w:b/>
          <w:sz w:val="24"/>
        </w:rPr>
      </w:pPr>
      <w:r>
        <w:rPr>
          <w:rFonts w:hint="eastAsia"/>
          <w:sz w:val="24"/>
        </w:rPr>
        <w:t>16Hz：</w:t>
      </w:r>
      <w:r>
        <w:rPr>
          <w:position w:val="-10"/>
          <w:sz w:val="24"/>
        </w:rPr>
        <w:object>
          <v:shape id="_x0000_i1059" o:spt="75" type="#_x0000_t75" style="height:17.25pt;width:162pt;" o:ole="t" filled="f" o:preferrelative="t" stroked="f" coordsize="21600,21600">
            <v:path/>
            <v:fill on="f" focussize="0,0"/>
            <v:stroke on="f" joinstyle="miter"/>
            <v:imagedata r:id="rId74" o:title=""/>
            <o:lock v:ext="edit" aspectratio="t"/>
            <w10:wrap type="none"/>
            <w10:anchorlock/>
          </v:shape>
          <o:OLEObject Type="Embed" ProgID="Equation.DSMT4" ShapeID="_x0000_i1059" DrawAspect="Content" ObjectID="_1468075759" r:id="rId73">
            <o:LockedField>false</o:LockedField>
          </o:OLEObject>
        </w:object>
      </w:r>
    </w:p>
    <w:p>
      <w:pPr>
        <w:spacing w:line="360" w:lineRule="auto"/>
        <w:rPr>
          <w:rFonts w:eastAsia="黑体"/>
          <w:sz w:val="24"/>
        </w:rPr>
      </w:pPr>
      <w:r>
        <w:rPr>
          <w:rFonts w:hint="eastAsia" w:eastAsia="黑体"/>
          <w:sz w:val="24"/>
        </w:rPr>
        <w:t xml:space="preserve">B6  </w:t>
      </w:r>
      <w:r>
        <w:rPr>
          <w:rFonts w:hint="eastAsia" w:hAnsi="黑体" w:eastAsia="黑体"/>
          <w:sz w:val="24"/>
        </w:rPr>
        <w:t>测量不确定度报告与表示</w:t>
      </w:r>
    </w:p>
    <w:p>
      <w:pPr>
        <w:spacing w:line="360" w:lineRule="auto"/>
        <w:ind w:firstLine="480" w:firstLineChars="200"/>
        <w:rPr>
          <w:sz w:val="24"/>
        </w:rPr>
      </w:pPr>
      <w:r>
        <w:rPr>
          <w:rFonts w:hint="eastAsia" w:hAnsi="宋体"/>
          <w:sz w:val="24"/>
        </w:rPr>
        <w:t>频率为</w:t>
      </w:r>
      <w:r>
        <w:rPr>
          <w:rFonts w:hint="eastAsia"/>
          <w:sz w:val="24"/>
        </w:rPr>
        <w:t>8Hz</w:t>
      </w:r>
      <w:r>
        <w:rPr>
          <w:rFonts w:hint="eastAsia" w:hAnsi="宋体"/>
          <w:sz w:val="24"/>
        </w:rPr>
        <w:t>时，相对扩展不确定度为：</w:t>
      </w:r>
      <w:r>
        <w:rPr>
          <w:rFonts w:hint="eastAsia"/>
          <w:i/>
          <w:sz w:val="24"/>
        </w:rPr>
        <w:t>U</w:t>
      </w:r>
      <w:r>
        <w:rPr>
          <w:rFonts w:hint="eastAsia"/>
          <w:sz w:val="24"/>
          <w:vertAlign w:val="subscript"/>
        </w:rPr>
        <w:t>rel</w:t>
      </w:r>
      <w:r>
        <w:rPr>
          <w:rFonts w:hint="eastAsia"/>
          <w:sz w:val="24"/>
        </w:rPr>
        <w:t>=2.6%</w:t>
      </w:r>
      <w:r>
        <w:rPr>
          <w:rFonts w:hint="eastAsia" w:hAnsi="宋体"/>
          <w:sz w:val="24"/>
        </w:rPr>
        <w:t>，</w:t>
      </w:r>
      <w:r>
        <w:rPr>
          <w:rFonts w:hint="eastAsia"/>
          <w:i/>
          <w:sz w:val="24"/>
        </w:rPr>
        <w:t>k</w:t>
      </w:r>
      <w:r>
        <w:rPr>
          <w:rFonts w:hint="eastAsia"/>
          <w:sz w:val="24"/>
        </w:rPr>
        <w:t>=2</w:t>
      </w:r>
    </w:p>
    <w:p>
      <w:pPr>
        <w:spacing w:line="360" w:lineRule="auto"/>
        <w:ind w:firstLine="480" w:firstLineChars="200"/>
        <w:rPr>
          <w:sz w:val="24"/>
        </w:rPr>
      </w:pPr>
      <w:r>
        <w:rPr>
          <w:rFonts w:hint="eastAsia" w:hAnsi="宋体"/>
          <w:sz w:val="24"/>
        </w:rPr>
        <w:t>频率为</w:t>
      </w:r>
      <w:r>
        <w:rPr>
          <w:rFonts w:hint="eastAsia"/>
          <w:sz w:val="24"/>
        </w:rPr>
        <w:t>16Hz</w:t>
      </w:r>
      <w:r>
        <w:rPr>
          <w:rFonts w:hint="eastAsia" w:hAnsi="宋体"/>
          <w:sz w:val="24"/>
        </w:rPr>
        <w:t>时，相对扩展不确定度为：</w:t>
      </w:r>
      <w:r>
        <w:rPr>
          <w:rFonts w:hint="eastAsia"/>
          <w:i/>
          <w:sz w:val="24"/>
        </w:rPr>
        <w:t>U</w:t>
      </w:r>
      <w:r>
        <w:rPr>
          <w:rFonts w:hint="eastAsia"/>
          <w:sz w:val="24"/>
          <w:vertAlign w:val="subscript"/>
        </w:rPr>
        <w:t>rel</w:t>
      </w:r>
      <w:r>
        <w:rPr>
          <w:rFonts w:hint="eastAsia"/>
          <w:sz w:val="24"/>
        </w:rPr>
        <w:t xml:space="preserve"> =2.5%</w:t>
      </w:r>
      <w:r>
        <w:rPr>
          <w:rFonts w:hint="eastAsia" w:hAnsi="宋体"/>
          <w:sz w:val="24"/>
        </w:rPr>
        <w:t>，</w:t>
      </w:r>
      <w:r>
        <w:rPr>
          <w:rFonts w:hint="eastAsia"/>
          <w:i/>
          <w:sz w:val="24"/>
        </w:rPr>
        <w:t>k</w:t>
      </w:r>
      <w:r>
        <w:rPr>
          <w:rFonts w:hint="eastAsia"/>
          <w:sz w:val="24"/>
        </w:rPr>
        <w:t>=2</w:t>
      </w:r>
    </w:p>
    <w:p>
      <w:pPr>
        <w:rPr>
          <w:sz w:val="24"/>
        </w:rPr>
      </w:pPr>
    </w:p>
    <w:p>
      <w:pPr>
        <w:spacing w:line="360" w:lineRule="auto"/>
        <w:rPr>
          <w:rFonts w:ascii="黑体" w:hAnsi="黑体" w:eastAsia="黑体"/>
          <w:b/>
          <w:sz w:val="32"/>
          <w:szCs w:val="32"/>
        </w:rPr>
      </w:pPr>
    </w:p>
    <w:p>
      <w:pPr>
        <w:spacing w:line="360" w:lineRule="auto"/>
        <w:rPr>
          <w:rFonts w:ascii="宋体" w:hAnsi="宋体"/>
          <w:sz w:val="24"/>
        </w:rPr>
      </w:pPr>
    </w:p>
    <w:sectPr>
      <w:footerReference r:id="rId5" w:type="default"/>
      <w:pgSz w:w="11906" w:h="16838"/>
      <w:pgMar w:top="1440" w:right="1800" w:bottom="1440" w:left="1800" w:header="851" w:footer="992" w:gutter="0"/>
      <w:pgNumType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方正小标宋简体">
    <w:altName w:val="微软雅黑"/>
    <w:panose1 w:val="00000000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suzhouFont">
    <w:altName w:val="Times New Roman"/>
    <w:panose1 w:val="00000000000000000000"/>
    <w:charset w:val="00"/>
    <w:family w:val="roman"/>
    <w:pitch w:val="default"/>
    <w:sig w:usb0="00000000" w:usb1="00000000" w:usb2="00000000" w:usb3="00000000" w:csb0="00000000" w:csb1="0000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jc w:val="right"/>
    </w:pPr>
    <w:r>
      <w:fldChar w:fldCharType="begin"/>
    </w:r>
    <w:r>
      <w:instrText xml:space="preserve"> PAGE   \* MERGEFORMAT </w:instrText>
    </w:r>
    <w:r>
      <w:fldChar w:fldCharType="separate"/>
    </w:r>
    <w:r>
      <w:t>12</w:t>
    </w:r>
    <w:r>
      <w:fldChar w:fldCharType="end"/>
    </w:r>
  </w:p>
  <w:p>
    <w:pPr>
      <w:pStyle w:val="6"/>
      <w:ind w:right="360"/>
      <w:jc w:val="right"/>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rPr>
        <w:rFonts w:ascii="黑体" w:hAnsi="黑体" w:eastAsia="黑体"/>
        <w:sz w:val="21"/>
        <w:szCs w:val="21"/>
      </w:rPr>
    </w:pPr>
    <w:r>
      <w:rPr>
        <w:rFonts w:hint="eastAsia" w:ascii="黑体" w:hAnsi="黑体" w:eastAsia="黑体"/>
        <w:sz w:val="21"/>
        <w:szCs w:val="21"/>
      </w:rPr>
      <w:t>JJF(鄂)  -202</w:t>
    </w:r>
    <w:r>
      <w:rPr>
        <w:rFonts w:hint="eastAsia" w:ascii="宋体" w:hAnsi="宋体"/>
        <w:sz w:val="24"/>
      </w:rPr>
      <w:t>x</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GMzZjkyMmExNThlMDc0MWYxYzQxOTdjZjQ0Y2Q4MTYifQ=="/>
    <w:docVar w:name="KSO_WPS_MARK_KEY" w:val="3c957147-fae6-45fe-9ec7-b62eabf4baf2"/>
  </w:docVars>
  <w:rsids>
    <w:rsidRoot w:val="00D62E7B"/>
    <w:rsid w:val="00000FF1"/>
    <w:rsid w:val="00005C9F"/>
    <w:rsid w:val="00010E16"/>
    <w:rsid w:val="00010EE1"/>
    <w:rsid w:val="00013A5F"/>
    <w:rsid w:val="0001447D"/>
    <w:rsid w:val="00017E83"/>
    <w:rsid w:val="0002098E"/>
    <w:rsid w:val="00021C8D"/>
    <w:rsid w:val="00030DB7"/>
    <w:rsid w:val="000339DD"/>
    <w:rsid w:val="000353AA"/>
    <w:rsid w:val="00037A32"/>
    <w:rsid w:val="00040E6D"/>
    <w:rsid w:val="00042FC8"/>
    <w:rsid w:val="000459EF"/>
    <w:rsid w:val="00050EE2"/>
    <w:rsid w:val="00050EFE"/>
    <w:rsid w:val="000510D9"/>
    <w:rsid w:val="00051AB1"/>
    <w:rsid w:val="000538A0"/>
    <w:rsid w:val="00060268"/>
    <w:rsid w:val="00060625"/>
    <w:rsid w:val="00062981"/>
    <w:rsid w:val="00062D7A"/>
    <w:rsid w:val="000639EC"/>
    <w:rsid w:val="00063CD1"/>
    <w:rsid w:val="00065BC6"/>
    <w:rsid w:val="0006756C"/>
    <w:rsid w:val="0007064E"/>
    <w:rsid w:val="00072EA5"/>
    <w:rsid w:val="00073681"/>
    <w:rsid w:val="0008558B"/>
    <w:rsid w:val="0008559F"/>
    <w:rsid w:val="00087AED"/>
    <w:rsid w:val="0009020E"/>
    <w:rsid w:val="000905DA"/>
    <w:rsid w:val="0009072D"/>
    <w:rsid w:val="0009763C"/>
    <w:rsid w:val="00097920"/>
    <w:rsid w:val="00097E8D"/>
    <w:rsid w:val="000A1227"/>
    <w:rsid w:val="000A2162"/>
    <w:rsid w:val="000A5E92"/>
    <w:rsid w:val="000A6CC2"/>
    <w:rsid w:val="000B688B"/>
    <w:rsid w:val="000C47C6"/>
    <w:rsid w:val="000C61CC"/>
    <w:rsid w:val="000C6B76"/>
    <w:rsid w:val="000C7CA6"/>
    <w:rsid w:val="000D304E"/>
    <w:rsid w:val="000D36C3"/>
    <w:rsid w:val="000D522B"/>
    <w:rsid w:val="000D5B6A"/>
    <w:rsid w:val="000E3330"/>
    <w:rsid w:val="000E4539"/>
    <w:rsid w:val="000E57C1"/>
    <w:rsid w:val="000E6E2D"/>
    <w:rsid w:val="000F2D8C"/>
    <w:rsid w:val="000F2E00"/>
    <w:rsid w:val="000F4E1C"/>
    <w:rsid w:val="000F5EBD"/>
    <w:rsid w:val="000F6F6A"/>
    <w:rsid w:val="000F7C36"/>
    <w:rsid w:val="000F7E69"/>
    <w:rsid w:val="00100976"/>
    <w:rsid w:val="001027DA"/>
    <w:rsid w:val="00104813"/>
    <w:rsid w:val="001074C1"/>
    <w:rsid w:val="00110AFA"/>
    <w:rsid w:val="001112D5"/>
    <w:rsid w:val="00111776"/>
    <w:rsid w:val="00111D12"/>
    <w:rsid w:val="001142FD"/>
    <w:rsid w:val="00115095"/>
    <w:rsid w:val="00117419"/>
    <w:rsid w:val="00117B15"/>
    <w:rsid w:val="0012094E"/>
    <w:rsid w:val="00121E52"/>
    <w:rsid w:val="001222BB"/>
    <w:rsid w:val="00122936"/>
    <w:rsid w:val="00127C3C"/>
    <w:rsid w:val="00130007"/>
    <w:rsid w:val="00130053"/>
    <w:rsid w:val="001329A1"/>
    <w:rsid w:val="0013491E"/>
    <w:rsid w:val="00135C70"/>
    <w:rsid w:val="00137BFA"/>
    <w:rsid w:val="00143661"/>
    <w:rsid w:val="00144273"/>
    <w:rsid w:val="0014529C"/>
    <w:rsid w:val="00146CE5"/>
    <w:rsid w:val="0015004F"/>
    <w:rsid w:val="00150D64"/>
    <w:rsid w:val="00151458"/>
    <w:rsid w:val="001516B8"/>
    <w:rsid w:val="001519DE"/>
    <w:rsid w:val="0015297C"/>
    <w:rsid w:val="001574F4"/>
    <w:rsid w:val="001627A6"/>
    <w:rsid w:val="00163253"/>
    <w:rsid w:val="0016581C"/>
    <w:rsid w:val="001744AB"/>
    <w:rsid w:val="001749BC"/>
    <w:rsid w:val="00176239"/>
    <w:rsid w:val="0017643C"/>
    <w:rsid w:val="00180D48"/>
    <w:rsid w:val="00183973"/>
    <w:rsid w:val="00184711"/>
    <w:rsid w:val="001858EE"/>
    <w:rsid w:val="00186BE7"/>
    <w:rsid w:val="00187B8A"/>
    <w:rsid w:val="001902E0"/>
    <w:rsid w:val="0019359F"/>
    <w:rsid w:val="00194BF4"/>
    <w:rsid w:val="00195CAC"/>
    <w:rsid w:val="001967DB"/>
    <w:rsid w:val="001A12FE"/>
    <w:rsid w:val="001A1C6A"/>
    <w:rsid w:val="001A283C"/>
    <w:rsid w:val="001A4455"/>
    <w:rsid w:val="001A5791"/>
    <w:rsid w:val="001B139A"/>
    <w:rsid w:val="001B15C1"/>
    <w:rsid w:val="001B2EC3"/>
    <w:rsid w:val="001B6B16"/>
    <w:rsid w:val="001C07C9"/>
    <w:rsid w:val="001C3ADD"/>
    <w:rsid w:val="001D09D3"/>
    <w:rsid w:val="001D48EE"/>
    <w:rsid w:val="001D67A3"/>
    <w:rsid w:val="001E099F"/>
    <w:rsid w:val="001E0FAC"/>
    <w:rsid w:val="001E2EDB"/>
    <w:rsid w:val="001E3BBB"/>
    <w:rsid w:val="001E4A06"/>
    <w:rsid w:val="001F2D92"/>
    <w:rsid w:val="001F2EE8"/>
    <w:rsid w:val="001F31C0"/>
    <w:rsid w:val="001F4A26"/>
    <w:rsid w:val="0020387E"/>
    <w:rsid w:val="00205B63"/>
    <w:rsid w:val="00215410"/>
    <w:rsid w:val="002158CB"/>
    <w:rsid w:val="00216088"/>
    <w:rsid w:val="002201DC"/>
    <w:rsid w:val="00223608"/>
    <w:rsid w:val="00225AC4"/>
    <w:rsid w:val="002260DA"/>
    <w:rsid w:val="002261D1"/>
    <w:rsid w:val="0022706C"/>
    <w:rsid w:val="0023092D"/>
    <w:rsid w:val="0023266D"/>
    <w:rsid w:val="002333C3"/>
    <w:rsid w:val="00233810"/>
    <w:rsid w:val="00234A1E"/>
    <w:rsid w:val="00235966"/>
    <w:rsid w:val="0023706E"/>
    <w:rsid w:val="00237C87"/>
    <w:rsid w:val="0024292D"/>
    <w:rsid w:val="00243269"/>
    <w:rsid w:val="00254016"/>
    <w:rsid w:val="00254024"/>
    <w:rsid w:val="0026062E"/>
    <w:rsid w:val="00262ECE"/>
    <w:rsid w:val="002633E6"/>
    <w:rsid w:val="00266CC3"/>
    <w:rsid w:val="00266E40"/>
    <w:rsid w:val="00267B87"/>
    <w:rsid w:val="00270C59"/>
    <w:rsid w:val="00277D01"/>
    <w:rsid w:val="00280BBF"/>
    <w:rsid w:val="002813FD"/>
    <w:rsid w:val="002814F3"/>
    <w:rsid w:val="0028292F"/>
    <w:rsid w:val="0028649C"/>
    <w:rsid w:val="00287750"/>
    <w:rsid w:val="00290F51"/>
    <w:rsid w:val="00292DD0"/>
    <w:rsid w:val="002A4BE7"/>
    <w:rsid w:val="002A55FC"/>
    <w:rsid w:val="002B0691"/>
    <w:rsid w:val="002B075E"/>
    <w:rsid w:val="002B39C3"/>
    <w:rsid w:val="002B3D25"/>
    <w:rsid w:val="002B49FD"/>
    <w:rsid w:val="002B6C00"/>
    <w:rsid w:val="002C0FE3"/>
    <w:rsid w:val="002C274C"/>
    <w:rsid w:val="002C5C5F"/>
    <w:rsid w:val="002C7FF9"/>
    <w:rsid w:val="002D0374"/>
    <w:rsid w:val="002D7464"/>
    <w:rsid w:val="002E44DE"/>
    <w:rsid w:val="002E60C1"/>
    <w:rsid w:val="002F0668"/>
    <w:rsid w:val="002F53D6"/>
    <w:rsid w:val="002F6231"/>
    <w:rsid w:val="00300B85"/>
    <w:rsid w:val="00303F3D"/>
    <w:rsid w:val="00304F4D"/>
    <w:rsid w:val="00306333"/>
    <w:rsid w:val="003077B3"/>
    <w:rsid w:val="003159B4"/>
    <w:rsid w:val="00317EFB"/>
    <w:rsid w:val="003218D5"/>
    <w:rsid w:val="00322959"/>
    <w:rsid w:val="00326537"/>
    <w:rsid w:val="003265D6"/>
    <w:rsid w:val="003313B2"/>
    <w:rsid w:val="00332A07"/>
    <w:rsid w:val="00333A55"/>
    <w:rsid w:val="00335244"/>
    <w:rsid w:val="00337C16"/>
    <w:rsid w:val="0034065C"/>
    <w:rsid w:val="00341E94"/>
    <w:rsid w:val="00342FBB"/>
    <w:rsid w:val="00343BF6"/>
    <w:rsid w:val="00345FE5"/>
    <w:rsid w:val="00346526"/>
    <w:rsid w:val="00356E62"/>
    <w:rsid w:val="0036182F"/>
    <w:rsid w:val="00364566"/>
    <w:rsid w:val="00370DC3"/>
    <w:rsid w:val="00371022"/>
    <w:rsid w:val="00371797"/>
    <w:rsid w:val="00376FBC"/>
    <w:rsid w:val="00377FE0"/>
    <w:rsid w:val="003875E6"/>
    <w:rsid w:val="003905A2"/>
    <w:rsid w:val="00390A2E"/>
    <w:rsid w:val="00390FA4"/>
    <w:rsid w:val="003926AC"/>
    <w:rsid w:val="00394C23"/>
    <w:rsid w:val="003A0A6C"/>
    <w:rsid w:val="003A17DE"/>
    <w:rsid w:val="003A1DBE"/>
    <w:rsid w:val="003A310C"/>
    <w:rsid w:val="003A4E32"/>
    <w:rsid w:val="003A4E97"/>
    <w:rsid w:val="003A6413"/>
    <w:rsid w:val="003A649D"/>
    <w:rsid w:val="003A6DCE"/>
    <w:rsid w:val="003B03E6"/>
    <w:rsid w:val="003B1B5C"/>
    <w:rsid w:val="003B6952"/>
    <w:rsid w:val="003C1785"/>
    <w:rsid w:val="003C35AC"/>
    <w:rsid w:val="003D0C92"/>
    <w:rsid w:val="003D1F88"/>
    <w:rsid w:val="003D245E"/>
    <w:rsid w:val="003D38BD"/>
    <w:rsid w:val="003D65FE"/>
    <w:rsid w:val="003E4307"/>
    <w:rsid w:val="003E6519"/>
    <w:rsid w:val="003E7638"/>
    <w:rsid w:val="003F17A3"/>
    <w:rsid w:val="003F21B6"/>
    <w:rsid w:val="003F50C0"/>
    <w:rsid w:val="0040252B"/>
    <w:rsid w:val="0040364F"/>
    <w:rsid w:val="00403D06"/>
    <w:rsid w:val="00403DC5"/>
    <w:rsid w:val="00404DBF"/>
    <w:rsid w:val="004055DF"/>
    <w:rsid w:val="00406D7B"/>
    <w:rsid w:val="004109C4"/>
    <w:rsid w:val="00410E52"/>
    <w:rsid w:val="004113F5"/>
    <w:rsid w:val="00411EB7"/>
    <w:rsid w:val="004135DF"/>
    <w:rsid w:val="004140AF"/>
    <w:rsid w:val="00414435"/>
    <w:rsid w:val="00414897"/>
    <w:rsid w:val="00416DBA"/>
    <w:rsid w:val="00420B4B"/>
    <w:rsid w:val="0042164E"/>
    <w:rsid w:val="004225DD"/>
    <w:rsid w:val="00422623"/>
    <w:rsid w:val="00422878"/>
    <w:rsid w:val="0042411D"/>
    <w:rsid w:val="00425455"/>
    <w:rsid w:val="00426E79"/>
    <w:rsid w:val="00430E5A"/>
    <w:rsid w:val="0043140F"/>
    <w:rsid w:val="00436837"/>
    <w:rsid w:val="00436ED9"/>
    <w:rsid w:val="00444CC0"/>
    <w:rsid w:val="00452F7F"/>
    <w:rsid w:val="0045470B"/>
    <w:rsid w:val="00455533"/>
    <w:rsid w:val="00461A27"/>
    <w:rsid w:val="004640E0"/>
    <w:rsid w:val="004770A6"/>
    <w:rsid w:val="00492613"/>
    <w:rsid w:val="00493623"/>
    <w:rsid w:val="004956C3"/>
    <w:rsid w:val="00495A29"/>
    <w:rsid w:val="004A0DF3"/>
    <w:rsid w:val="004A17CB"/>
    <w:rsid w:val="004A5777"/>
    <w:rsid w:val="004A5848"/>
    <w:rsid w:val="004A5E7E"/>
    <w:rsid w:val="004A6863"/>
    <w:rsid w:val="004A6EA4"/>
    <w:rsid w:val="004B37D8"/>
    <w:rsid w:val="004B49FB"/>
    <w:rsid w:val="004B7170"/>
    <w:rsid w:val="004C19AB"/>
    <w:rsid w:val="004C30B2"/>
    <w:rsid w:val="004C3DCF"/>
    <w:rsid w:val="004C3EBF"/>
    <w:rsid w:val="004C4D80"/>
    <w:rsid w:val="004C542D"/>
    <w:rsid w:val="004C5638"/>
    <w:rsid w:val="004D01B3"/>
    <w:rsid w:val="004D5BEB"/>
    <w:rsid w:val="004D6CBB"/>
    <w:rsid w:val="004E0B18"/>
    <w:rsid w:val="004E39C9"/>
    <w:rsid w:val="004F1CE4"/>
    <w:rsid w:val="004F7300"/>
    <w:rsid w:val="0050213A"/>
    <w:rsid w:val="00502725"/>
    <w:rsid w:val="0050398D"/>
    <w:rsid w:val="00504778"/>
    <w:rsid w:val="00505D3A"/>
    <w:rsid w:val="00506C58"/>
    <w:rsid w:val="0051074C"/>
    <w:rsid w:val="00511513"/>
    <w:rsid w:val="00514C62"/>
    <w:rsid w:val="00520D23"/>
    <w:rsid w:val="00523955"/>
    <w:rsid w:val="005268F3"/>
    <w:rsid w:val="0053099A"/>
    <w:rsid w:val="005358D2"/>
    <w:rsid w:val="00537B90"/>
    <w:rsid w:val="00542C34"/>
    <w:rsid w:val="00542C39"/>
    <w:rsid w:val="005457BF"/>
    <w:rsid w:val="00545D0C"/>
    <w:rsid w:val="00546C02"/>
    <w:rsid w:val="00546CC0"/>
    <w:rsid w:val="0055098F"/>
    <w:rsid w:val="0055157F"/>
    <w:rsid w:val="00551F35"/>
    <w:rsid w:val="005526FD"/>
    <w:rsid w:val="00553AA5"/>
    <w:rsid w:val="0055473F"/>
    <w:rsid w:val="0055499C"/>
    <w:rsid w:val="00555AAA"/>
    <w:rsid w:val="00560157"/>
    <w:rsid w:val="00561A9F"/>
    <w:rsid w:val="00563494"/>
    <w:rsid w:val="00566DDC"/>
    <w:rsid w:val="00567A23"/>
    <w:rsid w:val="005706A4"/>
    <w:rsid w:val="00572696"/>
    <w:rsid w:val="005732C8"/>
    <w:rsid w:val="0057545B"/>
    <w:rsid w:val="005767E6"/>
    <w:rsid w:val="005806F7"/>
    <w:rsid w:val="00582788"/>
    <w:rsid w:val="0058611E"/>
    <w:rsid w:val="005906BA"/>
    <w:rsid w:val="00591697"/>
    <w:rsid w:val="0059361F"/>
    <w:rsid w:val="00596CA0"/>
    <w:rsid w:val="00596FD3"/>
    <w:rsid w:val="005A06AE"/>
    <w:rsid w:val="005A195E"/>
    <w:rsid w:val="005A2312"/>
    <w:rsid w:val="005A2B77"/>
    <w:rsid w:val="005A3002"/>
    <w:rsid w:val="005A519E"/>
    <w:rsid w:val="005A52D9"/>
    <w:rsid w:val="005A6869"/>
    <w:rsid w:val="005B2103"/>
    <w:rsid w:val="005B2B3F"/>
    <w:rsid w:val="005B5B44"/>
    <w:rsid w:val="005B64B8"/>
    <w:rsid w:val="005C05D6"/>
    <w:rsid w:val="005C23F4"/>
    <w:rsid w:val="005C682F"/>
    <w:rsid w:val="005C7098"/>
    <w:rsid w:val="005D0406"/>
    <w:rsid w:val="005D0414"/>
    <w:rsid w:val="005D1A29"/>
    <w:rsid w:val="005D31E5"/>
    <w:rsid w:val="005D4556"/>
    <w:rsid w:val="005D4B73"/>
    <w:rsid w:val="005D6F2F"/>
    <w:rsid w:val="005E38B5"/>
    <w:rsid w:val="005E40EB"/>
    <w:rsid w:val="005F0CE3"/>
    <w:rsid w:val="005F14CB"/>
    <w:rsid w:val="005F2B22"/>
    <w:rsid w:val="005F3AA6"/>
    <w:rsid w:val="005F4C73"/>
    <w:rsid w:val="00600D6D"/>
    <w:rsid w:val="00603A71"/>
    <w:rsid w:val="00604D82"/>
    <w:rsid w:val="00612390"/>
    <w:rsid w:val="00613C0D"/>
    <w:rsid w:val="00614823"/>
    <w:rsid w:val="00617964"/>
    <w:rsid w:val="00621AFC"/>
    <w:rsid w:val="00621C62"/>
    <w:rsid w:val="00621F8D"/>
    <w:rsid w:val="00626F19"/>
    <w:rsid w:val="00627189"/>
    <w:rsid w:val="00627C84"/>
    <w:rsid w:val="006356AE"/>
    <w:rsid w:val="00636D82"/>
    <w:rsid w:val="00641C9A"/>
    <w:rsid w:val="00641DAA"/>
    <w:rsid w:val="00645052"/>
    <w:rsid w:val="00646002"/>
    <w:rsid w:val="00646233"/>
    <w:rsid w:val="00651941"/>
    <w:rsid w:val="0065287A"/>
    <w:rsid w:val="00656490"/>
    <w:rsid w:val="00660633"/>
    <w:rsid w:val="00661B67"/>
    <w:rsid w:val="0066222D"/>
    <w:rsid w:val="006642B4"/>
    <w:rsid w:val="00665F72"/>
    <w:rsid w:val="0066683D"/>
    <w:rsid w:val="00667023"/>
    <w:rsid w:val="006670AF"/>
    <w:rsid w:val="006670B6"/>
    <w:rsid w:val="00667A1C"/>
    <w:rsid w:val="00670DB1"/>
    <w:rsid w:val="00672A5A"/>
    <w:rsid w:val="00673FE3"/>
    <w:rsid w:val="0067411D"/>
    <w:rsid w:val="00674C82"/>
    <w:rsid w:val="0067620D"/>
    <w:rsid w:val="0067746B"/>
    <w:rsid w:val="00677598"/>
    <w:rsid w:val="00677679"/>
    <w:rsid w:val="006854F9"/>
    <w:rsid w:val="00687839"/>
    <w:rsid w:val="00690483"/>
    <w:rsid w:val="00692189"/>
    <w:rsid w:val="006942C5"/>
    <w:rsid w:val="00694DB5"/>
    <w:rsid w:val="006A2357"/>
    <w:rsid w:val="006A5049"/>
    <w:rsid w:val="006A6675"/>
    <w:rsid w:val="006B574A"/>
    <w:rsid w:val="006B72ED"/>
    <w:rsid w:val="006C008A"/>
    <w:rsid w:val="006C0E80"/>
    <w:rsid w:val="006C177C"/>
    <w:rsid w:val="006C2EF9"/>
    <w:rsid w:val="006C34FE"/>
    <w:rsid w:val="006C4792"/>
    <w:rsid w:val="006C7B59"/>
    <w:rsid w:val="006D16AD"/>
    <w:rsid w:val="006D2A08"/>
    <w:rsid w:val="006D7BEA"/>
    <w:rsid w:val="006E101C"/>
    <w:rsid w:val="006E358F"/>
    <w:rsid w:val="006E5B24"/>
    <w:rsid w:val="006E6B56"/>
    <w:rsid w:val="006E7024"/>
    <w:rsid w:val="006E7BA5"/>
    <w:rsid w:val="006F02AE"/>
    <w:rsid w:val="006F3A1D"/>
    <w:rsid w:val="006F60C1"/>
    <w:rsid w:val="006F6F08"/>
    <w:rsid w:val="006F7AE1"/>
    <w:rsid w:val="00700508"/>
    <w:rsid w:val="007005D1"/>
    <w:rsid w:val="00700EA0"/>
    <w:rsid w:val="00704966"/>
    <w:rsid w:val="00706ED9"/>
    <w:rsid w:val="0070718F"/>
    <w:rsid w:val="00707E10"/>
    <w:rsid w:val="007103D1"/>
    <w:rsid w:val="007119AE"/>
    <w:rsid w:val="007125BA"/>
    <w:rsid w:val="0071300F"/>
    <w:rsid w:val="00714708"/>
    <w:rsid w:val="0072504D"/>
    <w:rsid w:val="00725FAC"/>
    <w:rsid w:val="00727D68"/>
    <w:rsid w:val="007326A9"/>
    <w:rsid w:val="007327B0"/>
    <w:rsid w:val="00736CB3"/>
    <w:rsid w:val="0074288C"/>
    <w:rsid w:val="0074386A"/>
    <w:rsid w:val="0074433B"/>
    <w:rsid w:val="00750409"/>
    <w:rsid w:val="00751C69"/>
    <w:rsid w:val="00752FB8"/>
    <w:rsid w:val="00753EFA"/>
    <w:rsid w:val="007573FD"/>
    <w:rsid w:val="007638C7"/>
    <w:rsid w:val="007658A4"/>
    <w:rsid w:val="00771433"/>
    <w:rsid w:val="0077208D"/>
    <w:rsid w:val="00774B74"/>
    <w:rsid w:val="007769A8"/>
    <w:rsid w:val="00777491"/>
    <w:rsid w:val="00777D72"/>
    <w:rsid w:val="007830A9"/>
    <w:rsid w:val="007840A5"/>
    <w:rsid w:val="0078595D"/>
    <w:rsid w:val="00786AAB"/>
    <w:rsid w:val="00786D38"/>
    <w:rsid w:val="00793DC3"/>
    <w:rsid w:val="00797559"/>
    <w:rsid w:val="007A208F"/>
    <w:rsid w:val="007A381C"/>
    <w:rsid w:val="007A651B"/>
    <w:rsid w:val="007B111A"/>
    <w:rsid w:val="007B1D74"/>
    <w:rsid w:val="007B2E7B"/>
    <w:rsid w:val="007B45AC"/>
    <w:rsid w:val="007C322E"/>
    <w:rsid w:val="007C763C"/>
    <w:rsid w:val="007C7E27"/>
    <w:rsid w:val="007D2F63"/>
    <w:rsid w:val="007D4615"/>
    <w:rsid w:val="007E10FB"/>
    <w:rsid w:val="007E5AD3"/>
    <w:rsid w:val="007E5B3F"/>
    <w:rsid w:val="007E6BE6"/>
    <w:rsid w:val="007E76EA"/>
    <w:rsid w:val="007E7E90"/>
    <w:rsid w:val="007E7FF7"/>
    <w:rsid w:val="007F1AB8"/>
    <w:rsid w:val="007F3AD3"/>
    <w:rsid w:val="007F59AA"/>
    <w:rsid w:val="007F6242"/>
    <w:rsid w:val="00806198"/>
    <w:rsid w:val="00806457"/>
    <w:rsid w:val="00806C2E"/>
    <w:rsid w:val="008100F0"/>
    <w:rsid w:val="008124E4"/>
    <w:rsid w:val="00814181"/>
    <w:rsid w:val="0081427F"/>
    <w:rsid w:val="00814C28"/>
    <w:rsid w:val="00816C8F"/>
    <w:rsid w:val="00821A1A"/>
    <w:rsid w:val="00823EE6"/>
    <w:rsid w:val="00826986"/>
    <w:rsid w:val="00826B25"/>
    <w:rsid w:val="008317F4"/>
    <w:rsid w:val="00832CCF"/>
    <w:rsid w:val="00834FEF"/>
    <w:rsid w:val="00835953"/>
    <w:rsid w:val="00836EFE"/>
    <w:rsid w:val="008402B3"/>
    <w:rsid w:val="0084049B"/>
    <w:rsid w:val="00841833"/>
    <w:rsid w:val="00841B72"/>
    <w:rsid w:val="00845A9F"/>
    <w:rsid w:val="00854EE6"/>
    <w:rsid w:val="00856766"/>
    <w:rsid w:val="0086019A"/>
    <w:rsid w:val="00863ADB"/>
    <w:rsid w:val="00864B4B"/>
    <w:rsid w:val="008654CB"/>
    <w:rsid w:val="00875562"/>
    <w:rsid w:val="008804D7"/>
    <w:rsid w:val="0088063C"/>
    <w:rsid w:val="008807BF"/>
    <w:rsid w:val="00884AEB"/>
    <w:rsid w:val="008855FF"/>
    <w:rsid w:val="0088601B"/>
    <w:rsid w:val="008865D2"/>
    <w:rsid w:val="008907E4"/>
    <w:rsid w:val="008957AB"/>
    <w:rsid w:val="008B064C"/>
    <w:rsid w:val="008B0914"/>
    <w:rsid w:val="008B370B"/>
    <w:rsid w:val="008B38F8"/>
    <w:rsid w:val="008C0781"/>
    <w:rsid w:val="008C2FF3"/>
    <w:rsid w:val="008C516F"/>
    <w:rsid w:val="008C6076"/>
    <w:rsid w:val="008D08BB"/>
    <w:rsid w:val="008D2EE3"/>
    <w:rsid w:val="008D5EFE"/>
    <w:rsid w:val="008D695B"/>
    <w:rsid w:val="008D7273"/>
    <w:rsid w:val="008E085A"/>
    <w:rsid w:val="008E51F9"/>
    <w:rsid w:val="008F5C3B"/>
    <w:rsid w:val="00903F0C"/>
    <w:rsid w:val="00903F27"/>
    <w:rsid w:val="00906D44"/>
    <w:rsid w:val="009118F3"/>
    <w:rsid w:val="009159AD"/>
    <w:rsid w:val="00915E38"/>
    <w:rsid w:val="0091753D"/>
    <w:rsid w:val="00921DAC"/>
    <w:rsid w:val="0092277B"/>
    <w:rsid w:val="0092357E"/>
    <w:rsid w:val="009246D8"/>
    <w:rsid w:val="0092640A"/>
    <w:rsid w:val="00926DC9"/>
    <w:rsid w:val="00927B80"/>
    <w:rsid w:val="00950B70"/>
    <w:rsid w:val="009518BE"/>
    <w:rsid w:val="0095267D"/>
    <w:rsid w:val="00953363"/>
    <w:rsid w:val="00953AAE"/>
    <w:rsid w:val="009565F3"/>
    <w:rsid w:val="00957B30"/>
    <w:rsid w:val="00960DB3"/>
    <w:rsid w:val="0096332D"/>
    <w:rsid w:val="00966CFA"/>
    <w:rsid w:val="00971104"/>
    <w:rsid w:val="009733D8"/>
    <w:rsid w:val="0098015C"/>
    <w:rsid w:val="00980EBB"/>
    <w:rsid w:val="0098214F"/>
    <w:rsid w:val="0098238D"/>
    <w:rsid w:val="00982D0E"/>
    <w:rsid w:val="009864E6"/>
    <w:rsid w:val="00987834"/>
    <w:rsid w:val="009924B9"/>
    <w:rsid w:val="00992CF3"/>
    <w:rsid w:val="009931AC"/>
    <w:rsid w:val="009A03CE"/>
    <w:rsid w:val="009A1C89"/>
    <w:rsid w:val="009A2E86"/>
    <w:rsid w:val="009A39D3"/>
    <w:rsid w:val="009B32B6"/>
    <w:rsid w:val="009B59F5"/>
    <w:rsid w:val="009B5B70"/>
    <w:rsid w:val="009B6822"/>
    <w:rsid w:val="009D0017"/>
    <w:rsid w:val="009D0277"/>
    <w:rsid w:val="009D2121"/>
    <w:rsid w:val="009D33AC"/>
    <w:rsid w:val="009D34F2"/>
    <w:rsid w:val="009D3E43"/>
    <w:rsid w:val="009E0678"/>
    <w:rsid w:val="009E256E"/>
    <w:rsid w:val="009E46F1"/>
    <w:rsid w:val="009E54C7"/>
    <w:rsid w:val="009E7C5E"/>
    <w:rsid w:val="009F0F05"/>
    <w:rsid w:val="009F5063"/>
    <w:rsid w:val="009F53D7"/>
    <w:rsid w:val="00A0036C"/>
    <w:rsid w:val="00A10210"/>
    <w:rsid w:val="00A1321C"/>
    <w:rsid w:val="00A13773"/>
    <w:rsid w:val="00A20281"/>
    <w:rsid w:val="00A224B3"/>
    <w:rsid w:val="00A25805"/>
    <w:rsid w:val="00A25ABC"/>
    <w:rsid w:val="00A25BD9"/>
    <w:rsid w:val="00A30DCF"/>
    <w:rsid w:val="00A31C80"/>
    <w:rsid w:val="00A348C1"/>
    <w:rsid w:val="00A35B22"/>
    <w:rsid w:val="00A35C33"/>
    <w:rsid w:val="00A35FFD"/>
    <w:rsid w:val="00A5373E"/>
    <w:rsid w:val="00A571A1"/>
    <w:rsid w:val="00A57805"/>
    <w:rsid w:val="00A62D0C"/>
    <w:rsid w:val="00A64C40"/>
    <w:rsid w:val="00A70A2A"/>
    <w:rsid w:val="00A76951"/>
    <w:rsid w:val="00A82049"/>
    <w:rsid w:val="00A825AA"/>
    <w:rsid w:val="00A86B1E"/>
    <w:rsid w:val="00A87656"/>
    <w:rsid w:val="00A87E6D"/>
    <w:rsid w:val="00A944F8"/>
    <w:rsid w:val="00A9548F"/>
    <w:rsid w:val="00A9584E"/>
    <w:rsid w:val="00A9635F"/>
    <w:rsid w:val="00A963AA"/>
    <w:rsid w:val="00A96F60"/>
    <w:rsid w:val="00A97A1F"/>
    <w:rsid w:val="00AA03E4"/>
    <w:rsid w:val="00AA103A"/>
    <w:rsid w:val="00AA2B15"/>
    <w:rsid w:val="00AA41A8"/>
    <w:rsid w:val="00AA51DA"/>
    <w:rsid w:val="00AA5A62"/>
    <w:rsid w:val="00AA688C"/>
    <w:rsid w:val="00AB0AB8"/>
    <w:rsid w:val="00AB0E7A"/>
    <w:rsid w:val="00AB4CD1"/>
    <w:rsid w:val="00AB7800"/>
    <w:rsid w:val="00AC78D0"/>
    <w:rsid w:val="00AD5BA2"/>
    <w:rsid w:val="00AD6370"/>
    <w:rsid w:val="00AD7A73"/>
    <w:rsid w:val="00AE16EE"/>
    <w:rsid w:val="00AE5C5C"/>
    <w:rsid w:val="00AF1E2D"/>
    <w:rsid w:val="00AF36BD"/>
    <w:rsid w:val="00AF4006"/>
    <w:rsid w:val="00AF49B4"/>
    <w:rsid w:val="00B01096"/>
    <w:rsid w:val="00B03C8F"/>
    <w:rsid w:val="00B069E7"/>
    <w:rsid w:val="00B10240"/>
    <w:rsid w:val="00B127A0"/>
    <w:rsid w:val="00B1611D"/>
    <w:rsid w:val="00B20A4B"/>
    <w:rsid w:val="00B233F3"/>
    <w:rsid w:val="00B27E4C"/>
    <w:rsid w:val="00B30759"/>
    <w:rsid w:val="00B34CC7"/>
    <w:rsid w:val="00B3550F"/>
    <w:rsid w:val="00B36035"/>
    <w:rsid w:val="00B430DC"/>
    <w:rsid w:val="00B4336A"/>
    <w:rsid w:val="00B44F7E"/>
    <w:rsid w:val="00B457DD"/>
    <w:rsid w:val="00B5034B"/>
    <w:rsid w:val="00B51597"/>
    <w:rsid w:val="00B54B4D"/>
    <w:rsid w:val="00B56166"/>
    <w:rsid w:val="00B57707"/>
    <w:rsid w:val="00B63760"/>
    <w:rsid w:val="00B65D40"/>
    <w:rsid w:val="00B66F66"/>
    <w:rsid w:val="00B67B15"/>
    <w:rsid w:val="00B721BB"/>
    <w:rsid w:val="00B7303C"/>
    <w:rsid w:val="00B73549"/>
    <w:rsid w:val="00B7414D"/>
    <w:rsid w:val="00B76B29"/>
    <w:rsid w:val="00B820F4"/>
    <w:rsid w:val="00B82459"/>
    <w:rsid w:val="00B9036B"/>
    <w:rsid w:val="00B9272E"/>
    <w:rsid w:val="00B94753"/>
    <w:rsid w:val="00B95528"/>
    <w:rsid w:val="00B975CF"/>
    <w:rsid w:val="00B97B5B"/>
    <w:rsid w:val="00BB41C4"/>
    <w:rsid w:val="00BB4B8D"/>
    <w:rsid w:val="00BC2D79"/>
    <w:rsid w:val="00BC3836"/>
    <w:rsid w:val="00BC5315"/>
    <w:rsid w:val="00BD0A16"/>
    <w:rsid w:val="00BD0C29"/>
    <w:rsid w:val="00BE02C5"/>
    <w:rsid w:val="00BE599A"/>
    <w:rsid w:val="00BE5C8F"/>
    <w:rsid w:val="00BF13C2"/>
    <w:rsid w:val="00BF234C"/>
    <w:rsid w:val="00BF6D5E"/>
    <w:rsid w:val="00BF74A3"/>
    <w:rsid w:val="00C00A59"/>
    <w:rsid w:val="00C01094"/>
    <w:rsid w:val="00C014F3"/>
    <w:rsid w:val="00C01952"/>
    <w:rsid w:val="00C0729D"/>
    <w:rsid w:val="00C17A7D"/>
    <w:rsid w:val="00C2292B"/>
    <w:rsid w:val="00C23377"/>
    <w:rsid w:val="00C23F25"/>
    <w:rsid w:val="00C2638D"/>
    <w:rsid w:val="00C340E3"/>
    <w:rsid w:val="00C355CB"/>
    <w:rsid w:val="00C357AE"/>
    <w:rsid w:val="00C36293"/>
    <w:rsid w:val="00C424B0"/>
    <w:rsid w:val="00C46363"/>
    <w:rsid w:val="00C46CAC"/>
    <w:rsid w:val="00C51A5B"/>
    <w:rsid w:val="00C5575B"/>
    <w:rsid w:val="00C57D2C"/>
    <w:rsid w:val="00C66996"/>
    <w:rsid w:val="00C67533"/>
    <w:rsid w:val="00C70E05"/>
    <w:rsid w:val="00C75710"/>
    <w:rsid w:val="00C8063E"/>
    <w:rsid w:val="00C80742"/>
    <w:rsid w:val="00C82B84"/>
    <w:rsid w:val="00C831D9"/>
    <w:rsid w:val="00C9012E"/>
    <w:rsid w:val="00C92EE4"/>
    <w:rsid w:val="00C94096"/>
    <w:rsid w:val="00C97511"/>
    <w:rsid w:val="00CA13D4"/>
    <w:rsid w:val="00CA28C3"/>
    <w:rsid w:val="00CB34EE"/>
    <w:rsid w:val="00CB73C9"/>
    <w:rsid w:val="00CC09F9"/>
    <w:rsid w:val="00CC25D7"/>
    <w:rsid w:val="00CC56EC"/>
    <w:rsid w:val="00CC76B2"/>
    <w:rsid w:val="00CD1844"/>
    <w:rsid w:val="00CD4149"/>
    <w:rsid w:val="00CD43D5"/>
    <w:rsid w:val="00CD46E6"/>
    <w:rsid w:val="00CD4AE6"/>
    <w:rsid w:val="00CD4D84"/>
    <w:rsid w:val="00CD5DDB"/>
    <w:rsid w:val="00CD7099"/>
    <w:rsid w:val="00CD7E10"/>
    <w:rsid w:val="00CE02DC"/>
    <w:rsid w:val="00CE12CD"/>
    <w:rsid w:val="00CF049A"/>
    <w:rsid w:val="00CF1885"/>
    <w:rsid w:val="00CF2B1F"/>
    <w:rsid w:val="00CF5A23"/>
    <w:rsid w:val="00D04095"/>
    <w:rsid w:val="00D07D7F"/>
    <w:rsid w:val="00D10AFD"/>
    <w:rsid w:val="00D10DA5"/>
    <w:rsid w:val="00D115B0"/>
    <w:rsid w:val="00D11D68"/>
    <w:rsid w:val="00D1413C"/>
    <w:rsid w:val="00D216A1"/>
    <w:rsid w:val="00D22AAE"/>
    <w:rsid w:val="00D2321B"/>
    <w:rsid w:val="00D24524"/>
    <w:rsid w:val="00D300F5"/>
    <w:rsid w:val="00D30200"/>
    <w:rsid w:val="00D319CA"/>
    <w:rsid w:val="00D33B68"/>
    <w:rsid w:val="00D411D7"/>
    <w:rsid w:val="00D420ED"/>
    <w:rsid w:val="00D458BC"/>
    <w:rsid w:val="00D46144"/>
    <w:rsid w:val="00D51D6B"/>
    <w:rsid w:val="00D53463"/>
    <w:rsid w:val="00D542DE"/>
    <w:rsid w:val="00D606FE"/>
    <w:rsid w:val="00D61DB4"/>
    <w:rsid w:val="00D62E35"/>
    <w:rsid w:val="00D62E7B"/>
    <w:rsid w:val="00D64104"/>
    <w:rsid w:val="00D64CC6"/>
    <w:rsid w:val="00D654A7"/>
    <w:rsid w:val="00D66539"/>
    <w:rsid w:val="00D73738"/>
    <w:rsid w:val="00D75B15"/>
    <w:rsid w:val="00D8017E"/>
    <w:rsid w:val="00D913DE"/>
    <w:rsid w:val="00D91E8B"/>
    <w:rsid w:val="00DA3B15"/>
    <w:rsid w:val="00DA4BEC"/>
    <w:rsid w:val="00DA7674"/>
    <w:rsid w:val="00DB15DC"/>
    <w:rsid w:val="00DB2E66"/>
    <w:rsid w:val="00DB3A2A"/>
    <w:rsid w:val="00DB4150"/>
    <w:rsid w:val="00DC22B3"/>
    <w:rsid w:val="00DC291A"/>
    <w:rsid w:val="00DC2F7C"/>
    <w:rsid w:val="00DC4304"/>
    <w:rsid w:val="00DC4C52"/>
    <w:rsid w:val="00DC6C41"/>
    <w:rsid w:val="00DC74B1"/>
    <w:rsid w:val="00DC76B8"/>
    <w:rsid w:val="00DC79EB"/>
    <w:rsid w:val="00DD41A8"/>
    <w:rsid w:val="00DD4CDB"/>
    <w:rsid w:val="00DD5349"/>
    <w:rsid w:val="00DD6B7D"/>
    <w:rsid w:val="00DE1EFF"/>
    <w:rsid w:val="00DE36AF"/>
    <w:rsid w:val="00DE5215"/>
    <w:rsid w:val="00DE6392"/>
    <w:rsid w:val="00DE7BF7"/>
    <w:rsid w:val="00DF1B7A"/>
    <w:rsid w:val="00DF326C"/>
    <w:rsid w:val="00DF3779"/>
    <w:rsid w:val="00DF37DC"/>
    <w:rsid w:val="00DF6A1F"/>
    <w:rsid w:val="00DF75C5"/>
    <w:rsid w:val="00E000E3"/>
    <w:rsid w:val="00E049AD"/>
    <w:rsid w:val="00E05B7A"/>
    <w:rsid w:val="00E06664"/>
    <w:rsid w:val="00E07438"/>
    <w:rsid w:val="00E12A42"/>
    <w:rsid w:val="00E12D61"/>
    <w:rsid w:val="00E134AE"/>
    <w:rsid w:val="00E13D82"/>
    <w:rsid w:val="00E2052E"/>
    <w:rsid w:val="00E2105E"/>
    <w:rsid w:val="00E21F4F"/>
    <w:rsid w:val="00E24B19"/>
    <w:rsid w:val="00E31B0B"/>
    <w:rsid w:val="00E31DAD"/>
    <w:rsid w:val="00E327E9"/>
    <w:rsid w:val="00E331C5"/>
    <w:rsid w:val="00E335C7"/>
    <w:rsid w:val="00E339A3"/>
    <w:rsid w:val="00E40634"/>
    <w:rsid w:val="00E40EB2"/>
    <w:rsid w:val="00E42801"/>
    <w:rsid w:val="00E43288"/>
    <w:rsid w:val="00E46478"/>
    <w:rsid w:val="00E47777"/>
    <w:rsid w:val="00E509C7"/>
    <w:rsid w:val="00E50C15"/>
    <w:rsid w:val="00E515F8"/>
    <w:rsid w:val="00E524D0"/>
    <w:rsid w:val="00E54370"/>
    <w:rsid w:val="00E54653"/>
    <w:rsid w:val="00E60CB6"/>
    <w:rsid w:val="00E6508E"/>
    <w:rsid w:val="00E66CA7"/>
    <w:rsid w:val="00E71634"/>
    <w:rsid w:val="00E761C2"/>
    <w:rsid w:val="00E767ED"/>
    <w:rsid w:val="00E77EE1"/>
    <w:rsid w:val="00E84264"/>
    <w:rsid w:val="00E851EA"/>
    <w:rsid w:val="00E9214A"/>
    <w:rsid w:val="00E96BBE"/>
    <w:rsid w:val="00EA3418"/>
    <w:rsid w:val="00EA3B3A"/>
    <w:rsid w:val="00EA59E2"/>
    <w:rsid w:val="00EB06DF"/>
    <w:rsid w:val="00EB4B25"/>
    <w:rsid w:val="00EB5877"/>
    <w:rsid w:val="00EC2D6C"/>
    <w:rsid w:val="00EC3AFF"/>
    <w:rsid w:val="00EC3D4C"/>
    <w:rsid w:val="00EC7175"/>
    <w:rsid w:val="00ED029F"/>
    <w:rsid w:val="00ED0A8E"/>
    <w:rsid w:val="00ED1690"/>
    <w:rsid w:val="00EE207E"/>
    <w:rsid w:val="00EE4ADC"/>
    <w:rsid w:val="00EF055E"/>
    <w:rsid w:val="00EF0C07"/>
    <w:rsid w:val="00EF1242"/>
    <w:rsid w:val="00EF22F9"/>
    <w:rsid w:val="00EF3E9B"/>
    <w:rsid w:val="00EF3FA7"/>
    <w:rsid w:val="00EF4775"/>
    <w:rsid w:val="00EF7847"/>
    <w:rsid w:val="00F00E64"/>
    <w:rsid w:val="00F03801"/>
    <w:rsid w:val="00F04890"/>
    <w:rsid w:val="00F05C11"/>
    <w:rsid w:val="00F05D64"/>
    <w:rsid w:val="00F13202"/>
    <w:rsid w:val="00F1374F"/>
    <w:rsid w:val="00F13BF2"/>
    <w:rsid w:val="00F21787"/>
    <w:rsid w:val="00F26163"/>
    <w:rsid w:val="00F2673E"/>
    <w:rsid w:val="00F272DA"/>
    <w:rsid w:val="00F2780E"/>
    <w:rsid w:val="00F31E45"/>
    <w:rsid w:val="00F320B4"/>
    <w:rsid w:val="00F32226"/>
    <w:rsid w:val="00F350CB"/>
    <w:rsid w:val="00F35E5B"/>
    <w:rsid w:val="00F36893"/>
    <w:rsid w:val="00F4141E"/>
    <w:rsid w:val="00F419AB"/>
    <w:rsid w:val="00F4295D"/>
    <w:rsid w:val="00F45223"/>
    <w:rsid w:val="00F52B0E"/>
    <w:rsid w:val="00F531EB"/>
    <w:rsid w:val="00F54463"/>
    <w:rsid w:val="00F565C9"/>
    <w:rsid w:val="00F57F89"/>
    <w:rsid w:val="00F66D99"/>
    <w:rsid w:val="00F71C41"/>
    <w:rsid w:val="00F71CB2"/>
    <w:rsid w:val="00F727CB"/>
    <w:rsid w:val="00F748E9"/>
    <w:rsid w:val="00F819C5"/>
    <w:rsid w:val="00F81CF2"/>
    <w:rsid w:val="00F835EA"/>
    <w:rsid w:val="00F84446"/>
    <w:rsid w:val="00F848BE"/>
    <w:rsid w:val="00F84CE8"/>
    <w:rsid w:val="00F860AF"/>
    <w:rsid w:val="00F903CF"/>
    <w:rsid w:val="00F9214B"/>
    <w:rsid w:val="00F9775A"/>
    <w:rsid w:val="00F97D4F"/>
    <w:rsid w:val="00FA0065"/>
    <w:rsid w:val="00FA1D43"/>
    <w:rsid w:val="00FA2773"/>
    <w:rsid w:val="00FA2E99"/>
    <w:rsid w:val="00FA6459"/>
    <w:rsid w:val="00FA7C0F"/>
    <w:rsid w:val="00FB0412"/>
    <w:rsid w:val="00FB330F"/>
    <w:rsid w:val="00FB41CC"/>
    <w:rsid w:val="00FC15FE"/>
    <w:rsid w:val="00FC342E"/>
    <w:rsid w:val="00FC3696"/>
    <w:rsid w:val="00FC6838"/>
    <w:rsid w:val="00FC707D"/>
    <w:rsid w:val="00FC7889"/>
    <w:rsid w:val="00FD01C7"/>
    <w:rsid w:val="00FD31A6"/>
    <w:rsid w:val="00FD3F86"/>
    <w:rsid w:val="00FD449F"/>
    <w:rsid w:val="00FD53E3"/>
    <w:rsid w:val="00FD6F22"/>
    <w:rsid w:val="00FD70F3"/>
    <w:rsid w:val="00FE4253"/>
    <w:rsid w:val="00FE5CBA"/>
    <w:rsid w:val="00FF25C7"/>
    <w:rsid w:val="00FF62F4"/>
    <w:rsid w:val="00FF7D04"/>
    <w:rsid w:val="032A4F26"/>
    <w:rsid w:val="060678A0"/>
    <w:rsid w:val="131B1093"/>
    <w:rsid w:val="137254D7"/>
    <w:rsid w:val="1EB200F0"/>
    <w:rsid w:val="20912B14"/>
    <w:rsid w:val="210C162B"/>
    <w:rsid w:val="28EC417F"/>
    <w:rsid w:val="2A1F4D3F"/>
    <w:rsid w:val="2C1136BA"/>
    <w:rsid w:val="2C561B49"/>
    <w:rsid w:val="2FD44286"/>
    <w:rsid w:val="31EF4BB9"/>
    <w:rsid w:val="32CD2EB5"/>
    <w:rsid w:val="39651E25"/>
    <w:rsid w:val="3AE64E48"/>
    <w:rsid w:val="3E485D46"/>
    <w:rsid w:val="41595107"/>
    <w:rsid w:val="44EA6267"/>
    <w:rsid w:val="47857B39"/>
    <w:rsid w:val="4BB26449"/>
    <w:rsid w:val="522E0B7E"/>
    <w:rsid w:val="52596A56"/>
    <w:rsid w:val="565E0558"/>
    <w:rsid w:val="599B3347"/>
    <w:rsid w:val="5FA35C51"/>
    <w:rsid w:val="682254AB"/>
    <w:rsid w:val="6CC054C5"/>
    <w:rsid w:val="710F65AC"/>
    <w:rsid w:val="759E0F0F"/>
    <w:rsid w:val="78ED3F88"/>
    <w:rsid w:val="7CA71F28"/>
    <w:rsid w:val="7D307B98"/>
    <w:rsid w:val="7E711BB6"/>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9"/>
    <w:qFormat/>
    <w:uiPriority w:val="0"/>
    <w:pPr>
      <w:keepNext/>
      <w:ind w:firstLine="1120" w:firstLineChars="400"/>
      <w:outlineLvl w:val="1"/>
    </w:pPr>
    <w:rPr>
      <w:rFonts w:ascii="宋体"/>
      <w:color w:val="FF0000"/>
      <w:sz w:val="24"/>
      <w:lang w:val="zh-CN"/>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22"/>
    <w:qFormat/>
    <w:uiPriority w:val="99"/>
    <w:rPr>
      <w:rFonts w:ascii="宋体" w:hAnsi="Courier New"/>
      <w:szCs w:val="21"/>
      <w:lang w:val="zh-CN"/>
    </w:rPr>
  </w:style>
  <w:style w:type="paragraph" w:styleId="4">
    <w:name w:val="Date"/>
    <w:basedOn w:val="1"/>
    <w:next w:val="1"/>
    <w:link w:val="15"/>
    <w:qFormat/>
    <w:uiPriority w:val="0"/>
    <w:pPr>
      <w:ind w:left="100" w:leftChars="2500"/>
    </w:pPr>
    <w:rPr>
      <w:lang w:val="zh-CN"/>
    </w:rPr>
  </w:style>
  <w:style w:type="paragraph" w:styleId="5">
    <w:name w:val="Balloon Text"/>
    <w:basedOn w:val="1"/>
    <w:link w:val="18"/>
    <w:qFormat/>
    <w:uiPriority w:val="0"/>
    <w:rPr>
      <w:sz w:val="18"/>
      <w:szCs w:val="18"/>
      <w:lang w:val="zh-CN"/>
    </w:rPr>
  </w:style>
  <w:style w:type="paragraph" w:styleId="6">
    <w:name w:val="footer"/>
    <w:basedOn w:val="1"/>
    <w:link w:val="16"/>
    <w:qFormat/>
    <w:uiPriority w:val="99"/>
    <w:pPr>
      <w:tabs>
        <w:tab w:val="center" w:pos="4153"/>
        <w:tab w:val="right" w:pos="8306"/>
      </w:tabs>
      <w:snapToGrid w:val="0"/>
      <w:jc w:val="left"/>
    </w:pPr>
    <w:rPr>
      <w:sz w:val="18"/>
      <w:szCs w:val="18"/>
      <w:lang w:val="zh-CN"/>
    </w:rPr>
  </w:style>
  <w:style w:type="paragraph" w:styleId="7">
    <w:name w:val="header"/>
    <w:basedOn w:val="1"/>
    <w:link w:val="17"/>
    <w:qFormat/>
    <w:uiPriority w:val="99"/>
    <w:pPr>
      <w:pBdr>
        <w:bottom w:val="single" w:color="auto" w:sz="6" w:space="1"/>
      </w:pBdr>
      <w:tabs>
        <w:tab w:val="center" w:pos="4153"/>
        <w:tab w:val="right" w:pos="8306"/>
      </w:tabs>
      <w:snapToGrid w:val="0"/>
      <w:jc w:val="center"/>
    </w:pPr>
    <w:rPr>
      <w:sz w:val="18"/>
      <w:szCs w:val="18"/>
      <w:lang w:val="zh-CN"/>
    </w:rPr>
  </w:style>
  <w:style w:type="paragraph" w:styleId="8">
    <w:name w:val="toc 1"/>
    <w:basedOn w:val="1"/>
    <w:next w:val="1"/>
    <w:qFormat/>
    <w:uiPriority w:val="39"/>
    <w:pPr>
      <w:tabs>
        <w:tab w:val="right" w:leader="middleDot" w:pos="9356"/>
      </w:tabs>
      <w:spacing w:line="400" w:lineRule="exact"/>
      <w:ind w:right="44" w:rightChars="21"/>
      <w:jc w:val="left"/>
    </w:pPr>
    <w:rPr>
      <w:rFonts w:asciiTheme="minorEastAsia" w:hAnsiTheme="minorEastAsia" w:eastAsiaTheme="minorEastAsia"/>
      <w:sz w:val="24"/>
    </w:rPr>
  </w:style>
  <w:style w:type="table" w:styleId="10">
    <w:name w:val="Table Grid"/>
    <w:basedOn w:val="9"/>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2">
    <w:name w:val="Strong"/>
    <w:qFormat/>
    <w:uiPriority w:val="22"/>
    <w:rPr>
      <w:rFonts w:cs="Times New Roman"/>
      <w:b/>
      <w:bCs/>
    </w:rPr>
  </w:style>
  <w:style w:type="character" w:styleId="13">
    <w:name w:val="page number"/>
    <w:basedOn w:val="11"/>
    <w:qFormat/>
    <w:uiPriority w:val="0"/>
  </w:style>
  <w:style w:type="character" w:styleId="14">
    <w:name w:val="Hyperlink"/>
    <w:qFormat/>
    <w:uiPriority w:val="99"/>
    <w:rPr>
      <w:rFonts w:cs="Times New Roman"/>
      <w:color w:val="0000FF"/>
      <w:u w:val="single"/>
    </w:rPr>
  </w:style>
  <w:style w:type="character" w:customStyle="1" w:styleId="15">
    <w:name w:val="日期 Char"/>
    <w:link w:val="4"/>
    <w:qFormat/>
    <w:uiPriority w:val="0"/>
    <w:rPr>
      <w:kern w:val="2"/>
      <w:sz w:val="21"/>
      <w:szCs w:val="24"/>
    </w:rPr>
  </w:style>
  <w:style w:type="character" w:customStyle="1" w:styleId="16">
    <w:name w:val="页脚 Char"/>
    <w:link w:val="6"/>
    <w:qFormat/>
    <w:uiPriority w:val="99"/>
    <w:rPr>
      <w:kern w:val="2"/>
      <w:sz w:val="18"/>
      <w:szCs w:val="18"/>
    </w:rPr>
  </w:style>
  <w:style w:type="character" w:customStyle="1" w:styleId="17">
    <w:name w:val="页眉 Char"/>
    <w:link w:val="7"/>
    <w:qFormat/>
    <w:uiPriority w:val="99"/>
    <w:rPr>
      <w:kern w:val="2"/>
      <w:sz w:val="18"/>
      <w:szCs w:val="18"/>
    </w:rPr>
  </w:style>
  <w:style w:type="character" w:customStyle="1" w:styleId="18">
    <w:name w:val="批注框文本 Char"/>
    <w:link w:val="5"/>
    <w:qFormat/>
    <w:uiPriority w:val="0"/>
    <w:rPr>
      <w:kern w:val="2"/>
      <w:sz w:val="18"/>
      <w:szCs w:val="18"/>
    </w:rPr>
  </w:style>
  <w:style w:type="character" w:customStyle="1" w:styleId="19">
    <w:name w:val="标题 2 Char"/>
    <w:link w:val="2"/>
    <w:qFormat/>
    <w:uiPriority w:val="0"/>
    <w:rPr>
      <w:rFonts w:ascii="宋体"/>
      <w:color w:val="FF0000"/>
      <w:kern w:val="2"/>
      <w:sz w:val="24"/>
      <w:szCs w:val="24"/>
    </w:rPr>
  </w:style>
  <w:style w:type="character" w:customStyle="1" w:styleId="20">
    <w:name w:val="MTDisplayEquation Char"/>
    <w:link w:val="21"/>
    <w:qFormat/>
    <w:uiPriority w:val="0"/>
    <w:rPr>
      <w:rFonts w:ascii="宋体" w:hAnsi="宋体"/>
      <w:color w:val="000000"/>
      <w:kern w:val="2"/>
      <w:sz w:val="24"/>
      <w:szCs w:val="24"/>
    </w:rPr>
  </w:style>
  <w:style w:type="paragraph" w:customStyle="1" w:styleId="21">
    <w:name w:val="MTDisplayEquation"/>
    <w:basedOn w:val="1"/>
    <w:next w:val="1"/>
    <w:link w:val="20"/>
    <w:qFormat/>
    <w:uiPriority w:val="0"/>
    <w:pPr>
      <w:tabs>
        <w:tab w:val="center" w:pos="4160"/>
        <w:tab w:val="right" w:pos="8300"/>
      </w:tabs>
      <w:spacing w:line="360" w:lineRule="auto"/>
      <w:ind w:right="210" w:rightChars="100"/>
    </w:pPr>
    <w:rPr>
      <w:rFonts w:ascii="宋体" w:hAnsi="宋体"/>
      <w:color w:val="000000"/>
      <w:sz w:val="24"/>
      <w:lang w:val="zh-CN"/>
    </w:rPr>
  </w:style>
  <w:style w:type="character" w:customStyle="1" w:styleId="22">
    <w:name w:val="纯文本 Char"/>
    <w:link w:val="3"/>
    <w:qFormat/>
    <w:locked/>
    <w:uiPriority w:val="99"/>
    <w:rPr>
      <w:rFonts w:ascii="宋体" w:hAnsi="Courier New" w:cs="Courier New"/>
      <w:kern w:val="2"/>
      <w:sz w:val="21"/>
      <w:szCs w:val="21"/>
    </w:rPr>
  </w:style>
  <w:style w:type="character" w:customStyle="1" w:styleId="23">
    <w:name w:val="一级条标题 Char"/>
    <w:link w:val="24"/>
    <w:qFormat/>
    <w:locked/>
    <w:uiPriority w:val="0"/>
    <w:rPr>
      <w:rFonts w:ascii="黑体" w:eastAsia="黑体"/>
      <w:sz w:val="21"/>
      <w:lang w:val="zh-CN" w:eastAsia="zh-CN"/>
    </w:rPr>
  </w:style>
  <w:style w:type="paragraph" w:customStyle="1" w:styleId="24">
    <w:name w:val="一级条标题"/>
    <w:basedOn w:val="1"/>
    <w:next w:val="1"/>
    <w:link w:val="23"/>
    <w:qFormat/>
    <w:uiPriority w:val="0"/>
    <w:pPr>
      <w:widowControl/>
      <w:ind w:left="825" w:hanging="825"/>
      <w:outlineLvl w:val="2"/>
    </w:pPr>
    <w:rPr>
      <w:rFonts w:ascii="黑体" w:eastAsia="黑体"/>
      <w:kern w:val="0"/>
      <w:szCs w:val="20"/>
      <w:lang w:val="zh-CN"/>
    </w:rPr>
  </w:style>
  <w:style w:type="character" w:customStyle="1" w:styleId="25">
    <w:name w:val="段 Char"/>
    <w:link w:val="26"/>
    <w:qFormat/>
    <w:locked/>
    <w:uiPriority w:val="0"/>
    <w:rPr>
      <w:rFonts w:ascii="宋体"/>
      <w:sz w:val="21"/>
      <w:lang w:val="en-US" w:eastAsia="zh-CN" w:bidi="ar-SA"/>
    </w:rPr>
  </w:style>
  <w:style w:type="paragraph" w:customStyle="1" w:styleId="26">
    <w:name w:val="段"/>
    <w:link w:val="25"/>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7">
    <w:name w:val="附录一级条标题"/>
    <w:basedOn w:val="1"/>
    <w:next w:val="1"/>
    <w:qFormat/>
    <w:uiPriority w:val="0"/>
    <w:pPr>
      <w:widowControl/>
      <w:wordWrap w:val="0"/>
      <w:overflowPunct w:val="0"/>
      <w:autoSpaceDE w:val="0"/>
      <w:autoSpaceDN w:val="0"/>
      <w:textAlignment w:val="baseline"/>
      <w:outlineLvl w:val="2"/>
    </w:pPr>
    <w:rPr>
      <w:rFonts w:ascii="黑体" w:eastAsia="黑体"/>
      <w:kern w:val="21"/>
      <w:szCs w:val="20"/>
    </w:rPr>
  </w:style>
  <w:style w:type="paragraph" w:customStyle="1" w:styleId="28">
    <w:name w:val="附录二级条标题"/>
    <w:basedOn w:val="27"/>
    <w:next w:val="1"/>
    <w:uiPriority w:val="0"/>
    <w:pPr>
      <w:outlineLvl w:val="3"/>
    </w:p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image" Target="media/image2.png"/><Relationship Id="rId77" Type="http://schemas.openxmlformats.org/officeDocument/2006/relationships/fontTable" Target="fontTable.xml"/><Relationship Id="rId76" Type="http://schemas.openxmlformats.org/officeDocument/2006/relationships/customXml" Target="../customXml/item2.xml"/><Relationship Id="rId75" Type="http://schemas.openxmlformats.org/officeDocument/2006/relationships/customXml" Target="../customXml/item1.xml"/><Relationship Id="rId74" Type="http://schemas.openxmlformats.org/officeDocument/2006/relationships/image" Target="media/image33.wmf"/><Relationship Id="rId73" Type="http://schemas.openxmlformats.org/officeDocument/2006/relationships/oleObject" Target="embeddings/oleObject35.bin"/><Relationship Id="rId72" Type="http://schemas.openxmlformats.org/officeDocument/2006/relationships/image" Target="media/image32.wmf"/><Relationship Id="rId71" Type="http://schemas.openxmlformats.org/officeDocument/2006/relationships/oleObject" Target="embeddings/oleObject34.bin"/><Relationship Id="rId70" Type="http://schemas.openxmlformats.org/officeDocument/2006/relationships/image" Target="media/image31.wmf"/><Relationship Id="rId7" Type="http://schemas.openxmlformats.org/officeDocument/2006/relationships/image" Target="media/image1.jpeg"/><Relationship Id="rId69" Type="http://schemas.openxmlformats.org/officeDocument/2006/relationships/oleObject" Target="embeddings/oleObject33.bin"/><Relationship Id="rId68" Type="http://schemas.openxmlformats.org/officeDocument/2006/relationships/image" Target="media/image30.wmf"/><Relationship Id="rId67" Type="http://schemas.openxmlformats.org/officeDocument/2006/relationships/oleObject" Target="embeddings/oleObject32.bin"/><Relationship Id="rId66" Type="http://schemas.openxmlformats.org/officeDocument/2006/relationships/image" Target="media/image29.wmf"/><Relationship Id="rId65" Type="http://schemas.openxmlformats.org/officeDocument/2006/relationships/oleObject" Target="embeddings/oleObject31.bin"/><Relationship Id="rId64" Type="http://schemas.openxmlformats.org/officeDocument/2006/relationships/image" Target="media/image28.wmf"/><Relationship Id="rId63" Type="http://schemas.openxmlformats.org/officeDocument/2006/relationships/oleObject" Target="embeddings/oleObject30.bin"/><Relationship Id="rId62" Type="http://schemas.openxmlformats.org/officeDocument/2006/relationships/image" Target="media/image27.wmf"/><Relationship Id="rId61" Type="http://schemas.openxmlformats.org/officeDocument/2006/relationships/oleObject" Target="embeddings/oleObject29.bin"/><Relationship Id="rId60" Type="http://schemas.openxmlformats.org/officeDocument/2006/relationships/image" Target="media/image26.wmf"/><Relationship Id="rId6" Type="http://schemas.openxmlformats.org/officeDocument/2006/relationships/theme" Target="theme/theme1.xml"/><Relationship Id="rId59" Type="http://schemas.openxmlformats.org/officeDocument/2006/relationships/oleObject" Target="embeddings/oleObject28.bin"/><Relationship Id="rId58" Type="http://schemas.openxmlformats.org/officeDocument/2006/relationships/image" Target="media/image25.wmf"/><Relationship Id="rId57" Type="http://schemas.openxmlformats.org/officeDocument/2006/relationships/oleObject" Target="embeddings/oleObject27.bin"/><Relationship Id="rId56" Type="http://schemas.openxmlformats.org/officeDocument/2006/relationships/image" Target="media/image24.wmf"/><Relationship Id="rId55" Type="http://schemas.openxmlformats.org/officeDocument/2006/relationships/oleObject" Target="embeddings/oleObject26.bin"/><Relationship Id="rId54" Type="http://schemas.openxmlformats.org/officeDocument/2006/relationships/image" Target="media/image23.wmf"/><Relationship Id="rId53" Type="http://schemas.openxmlformats.org/officeDocument/2006/relationships/oleObject" Target="embeddings/oleObject25.bin"/><Relationship Id="rId52" Type="http://schemas.openxmlformats.org/officeDocument/2006/relationships/image" Target="media/image22.wmf"/><Relationship Id="rId51" Type="http://schemas.openxmlformats.org/officeDocument/2006/relationships/oleObject" Target="embeddings/oleObject24.bin"/><Relationship Id="rId50" Type="http://schemas.openxmlformats.org/officeDocument/2006/relationships/image" Target="media/image21.wmf"/><Relationship Id="rId5" Type="http://schemas.openxmlformats.org/officeDocument/2006/relationships/footer" Target="footer1.xml"/><Relationship Id="rId49" Type="http://schemas.openxmlformats.org/officeDocument/2006/relationships/oleObject" Target="embeddings/oleObject23.bin"/><Relationship Id="rId48" Type="http://schemas.openxmlformats.org/officeDocument/2006/relationships/image" Target="media/image20.wmf"/><Relationship Id="rId47" Type="http://schemas.openxmlformats.org/officeDocument/2006/relationships/oleObject" Target="embeddings/oleObject22.bin"/><Relationship Id="rId46" Type="http://schemas.openxmlformats.org/officeDocument/2006/relationships/oleObject" Target="embeddings/oleObject21.bin"/><Relationship Id="rId45" Type="http://schemas.openxmlformats.org/officeDocument/2006/relationships/oleObject" Target="embeddings/oleObject20.bin"/><Relationship Id="rId44" Type="http://schemas.openxmlformats.org/officeDocument/2006/relationships/oleObject" Target="embeddings/oleObject19.bin"/><Relationship Id="rId43" Type="http://schemas.openxmlformats.org/officeDocument/2006/relationships/image" Target="media/image19.wmf"/><Relationship Id="rId42" Type="http://schemas.openxmlformats.org/officeDocument/2006/relationships/oleObject" Target="embeddings/oleObject18.bin"/><Relationship Id="rId41" Type="http://schemas.openxmlformats.org/officeDocument/2006/relationships/image" Target="media/image18.wmf"/><Relationship Id="rId40" Type="http://schemas.openxmlformats.org/officeDocument/2006/relationships/oleObject" Target="embeddings/oleObject17.bin"/><Relationship Id="rId4" Type="http://schemas.openxmlformats.org/officeDocument/2006/relationships/header" Target="header2.xml"/><Relationship Id="rId39" Type="http://schemas.openxmlformats.org/officeDocument/2006/relationships/image" Target="media/image17.wmf"/><Relationship Id="rId38" Type="http://schemas.openxmlformats.org/officeDocument/2006/relationships/oleObject" Target="embeddings/oleObject16.bin"/><Relationship Id="rId37" Type="http://schemas.openxmlformats.org/officeDocument/2006/relationships/image" Target="media/image16.wmf"/><Relationship Id="rId36" Type="http://schemas.openxmlformats.org/officeDocument/2006/relationships/oleObject" Target="embeddings/oleObject15.bin"/><Relationship Id="rId35" Type="http://schemas.openxmlformats.org/officeDocument/2006/relationships/image" Target="media/image15.wmf"/><Relationship Id="rId34" Type="http://schemas.openxmlformats.org/officeDocument/2006/relationships/oleObject" Target="embeddings/oleObject14.bin"/><Relationship Id="rId33" Type="http://schemas.openxmlformats.org/officeDocument/2006/relationships/image" Target="media/image14.wmf"/><Relationship Id="rId32" Type="http://schemas.openxmlformats.org/officeDocument/2006/relationships/oleObject" Target="embeddings/oleObject13.bin"/><Relationship Id="rId31" Type="http://schemas.openxmlformats.org/officeDocument/2006/relationships/image" Target="media/image13.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2.wmf"/><Relationship Id="rId28" Type="http://schemas.openxmlformats.org/officeDocument/2006/relationships/oleObject" Target="embeddings/oleObject11.bin"/><Relationship Id="rId27" Type="http://schemas.openxmlformats.org/officeDocument/2006/relationships/image" Target="media/image11.png"/><Relationship Id="rId26" Type="http://schemas.openxmlformats.org/officeDocument/2006/relationships/oleObject" Target="embeddings/oleObject10.bin"/><Relationship Id="rId25" Type="http://schemas.openxmlformats.org/officeDocument/2006/relationships/oleObject" Target="embeddings/oleObject9.bin"/><Relationship Id="rId24" Type="http://schemas.openxmlformats.org/officeDocument/2006/relationships/image" Target="media/image10.wmf"/><Relationship Id="rId23" Type="http://schemas.openxmlformats.org/officeDocument/2006/relationships/oleObject" Target="embeddings/oleObject8.bin"/><Relationship Id="rId22" Type="http://schemas.openxmlformats.org/officeDocument/2006/relationships/image" Target="media/image9.wmf"/><Relationship Id="rId21" Type="http://schemas.openxmlformats.org/officeDocument/2006/relationships/oleObject" Target="embeddings/oleObject7.bin"/><Relationship Id="rId20" Type="http://schemas.openxmlformats.org/officeDocument/2006/relationships/image" Target="media/image8.wmf"/><Relationship Id="rId2" Type="http://schemas.openxmlformats.org/officeDocument/2006/relationships/settings" Target="settings.xml"/><Relationship Id="rId19" Type="http://schemas.openxmlformats.org/officeDocument/2006/relationships/oleObject" Target="embeddings/oleObject6.bin"/><Relationship Id="rId18" Type="http://schemas.openxmlformats.org/officeDocument/2006/relationships/image" Target="media/image7.wmf"/><Relationship Id="rId17" Type="http://schemas.openxmlformats.org/officeDocument/2006/relationships/oleObject" Target="embeddings/oleObject5.bin"/><Relationship Id="rId16" Type="http://schemas.openxmlformats.org/officeDocument/2006/relationships/image" Target="media/image6.wmf"/><Relationship Id="rId15" Type="http://schemas.openxmlformats.org/officeDocument/2006/relationships/oleObject" Target="embeddings/oleObject4.bin"/><Relationship Id="rId14" Type="http://schemas.openxmlformats.org/officeDocument/2006/relationships/image" Target="media/image5.wmf"/><Relationship Id="rId13" Type="http://schemas.openxmlformats.org/officeDocument/2006/relationships/oleObject" Target="embeddings/oleObject3.bin"/><Relationship Id="rId12" Type="http://schemas.openxmlformats.org/officeDocument/2006/relationships/image" Target="media/image4.wmf"/><Relationship Id="rId11" Type="http://schemas.openxmlformats.org/officeDocument/2006/relationships/oleObject" Target="embeddings/oleObject2.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65"/>
    <customShpInfo spid="_x0000_s1064"/>
    <customShpInfo spid="_x0000_s1063"/>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D123CA3-5F41-4B0F-BB4A-5F4E99D72F23}">
  <ds:schemaRefs/>
</ds:datastoreItem>
</file>

<file path=docProps/app.xml><?xml version="1.0" encoding="utf-8"?>
<Properties xmlns="http://schemas.openxmlformats.org/officeDocument/2006/extended-properties" xmlns:vt="http://schemas.openxmlformats.org/officeDocument/2006/docPropsVTypes">
  <Template>Normal</Template>
  <Company>襄阳市计量检定测试所</Company>
  <Pages>17</Pages>
  <Words>5013</Words>
  <Characters>6355</Characters>
  <Lines>58</Lines>
  <Paragraphs>16</Paragraphs>
  <TotalTime>227</TotalTime>
  <ScaleCrop>false</ScaleCrop>
  <LinksUpToDate>false</LinksUpToDate>
  <CharactersWithSpaces>6729</CharactersWithSpaces>
  <Application>WPS Office_11.1.0.12650_F1E327BC-269C-435d-A152-05C5408002CA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2023-06-08T02:53:00Z</dcterms:created>
  <dc:creator>胡坤鹏</dc:creator>
  <cp:lastModifiedBy>Administrator</cp:lastModifiedBy>
  <cp:lastPrinted>2019-05-09T03:59:00Z</cp:lastPrinted>
  <dcterms:modified xsi:type="dcterms:W3CDTF">2023-08-10T08:01:17Z</dcterms:modified>
  <cp:revision>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2052-11.1.0.12650</vt:lpwstr>
  </property>
  <property fmtid="{D5CDD505-2E9C-101B-9397-08002B2CF9AE}" pid="3" name="MTWinEqns">
    <vt:bool>true</vt:bool>
  </property>
  <property fmtid="{D5CDD505-2E9C-101B-9397-08002B2CF9AE}" pid="4" name="ICV">
    <vt:lpwstr>CB54A9C6863D4EBCBFD3304D18336B6C_13</vt:lpwstr>
  </property>
</Properties>
</file>