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43CE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32"/>
          <w:szCs w:val="32"/>
          <w:lang w:eastAsia="zh-CN"/>
        </w:rPr>
      </w:pPr>
    </w:p>
    <w:p w14:paraId="64BD34E6">
      <w:pPr>
        <w:pStyle w:val="2"/>
        <w:rPr>
          <w:rFonts w:hint="eastAsia"/>
          <w:sz w:val="32"/>
          <w:szCs w:val="32"/>
          <w:lang w:eastAsia="zh-CN"/>
        </w:rPr>
      </w:pPr>
    </w:p>
    <w:p w14:paraId="4A8BF2FF">
      <w:pPr>
        <w:pStyle w:val="2"/>
        <w:rPr>
          <w:rFonts w:hint="eastAsia"/>
          <w:sz w:val="32"/>
          <w:szCs w:val="32"/>
          <w:lang w:eastAsia="zh-CN"/>
        </w:rPr>
      </w:pPr>
    </w:p>
    <w:p w14:paraId="646ED6F6">
      <w:pPr>
        <w:pStyle w:val="1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小标宋简体" w:hAnsi="方正小标宋简体" w:eastAsia="方正小标宋简体" w:cs="方正小标宋简体"/>
          <w:b w:val="0"/>
          <w:bCs w:val="0"/>
          <w:i w:val="0"/>
          <w:iCs w:val="0"/>
          <w:color w:val="000000"/>
          <w:kern w:val="0"/>
          <w:sz w:val="44"/>
          <w:szCs w:val="44"/>
          <w:u w:val="none"/>
          <w:lang w:val="en-US" w:eastAsia="zh-CN" w:bidi="ar"/>
        </w:rPr>
      </w:pPr>
      <w:r>
        <w:rPr>
          <w:rFonts w:hint="eastAsia" w:ascii="方正小标宋简体" w:hAnsi="方正小标宋简体" w:eastAsia="方正小标宋简体" w:cs="方正小标宋简体"/>
          <w:b w:val="0"/>
          <w:bCs w:val="0"/>
          <w:i w:val="0"/>
          <w:iCs w:val="0"/>
          <w:color w:val="000000"/>
          <w:kern w:val="0"/>
          <w:sz w:val="44"/>
          <w:szCs w:val="44"/>
          <w:u w:val="none"/>
          <w:lang w:val="en-US" w:eastAsia="zh-CN" w:bidi="ar"/>
        </w:rPr>
        <w:t>2026年湖北省计量测试技术研究院</w:t>
      </w:r>
    </w:p>
    <w:p w14:paraId="34ADDA09">
      <w:pPr>
        <w:pStyle w:val="1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小标宋简体" w:hAnsi="方正小标宋简体" w:eastAsia="方正小标宋简体" w:cs="方正小标宋简体"/>
          <w:b w:val="0"/>
          <w:bCs w:val="0"/>
          <w:i w:val="0"/>
          <w:iCs w:val="0"/>
          <w:color w:val="000000"/>
          <w:kern w:val="0"/>
          <w:sz w:val="44"/>
          <w:szCs w:val="44"/>
          <w:u w:val="none"/>
          <w:lang w:val="en-US" w:eastAsia="zh-CN" w:bidi="ar"/>
        </w:rPr>
      </w:pPr>
      <w:r>
        <w:rPr>
          <w:rFonts w:hint="eastAsia" w:ascii="方正小标宋简体" w:hAnsi="方正小标宋简体" w:eastAsia="方正小标宋简体" w:cs="方正小标宋简体"/>
          <w:b w:val="0"/>
          <w:bCs w:val="0"/>
          <w:i w:val="0"/>
          <w:iCs w:val="0"/>
          <w:color w:val="000000"/>
          <w:kern w:val="0"/>
          <w:sz w:val="44"/>
          <w:szCs w:val="44"/>
          <w:u w:val="none"/>
          <w:lang w:val="en-US" w:eastAsia="zh-CN" w:bidi="ar"/>
        </w:rPr>
        <w:t>荆门分院预算公开情况说明</w:t>
      </w:r>
    </w:p>
    <w:p w14:paraId="5FA2B90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36"/>
          <w:szCs w:val="36"/>
          <w:lang w:eastAsia="zh-CN"/>
        </w:rPr>
      </w:pPr>
    </w:p>
    <w:p w14:paraId="5C23655C">
      <w:pPr>
        <w:pStyle w:val="2"/>
        <w:rPr>
          <w:rFonts w:hint="eastAsia"/>
          <w:sz w:val="36"/>
          <w:szCs w:val="36"/>
          <w:lang w:eastAsia="zh-CN"/>
        </w:rPr>
      </w:pPr>
    </w:p>
    <w:p w14:paraId="31D3DF8A">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ascii="方正小标宋简体" w:hAnsi="Calibri" w:eastAsia="方正小标宋简体" w:cs="Times New Roman"/>
          <w:sz w:val="36"/>
          <w:szCs w:val="36"/>
        </w:rPr>
      </w:pPr>
      <w:r>
        <w:rPr>
          <w:rFonts w:hint="eastAsia" w:ascii="方正小标宋简体" w:hAnsi="Calibri" w:eastAsia="方正小标宋简体" w:cs="Times New Roman"/>
          <w:sz w:val="36"/>
          <w:szCs w:val="36"/>
        </w:rPr>
        <w:t>目</w:t>
      </w:r>
      <w:r>
        <w:rPr>
          <w:rFonts w:hint="eastAsia" w:ascii="方正小标宋简体" w:hAnsi="Calibri" w:eastAsia="方正小标宋简体" w:cs="Times New Roman"/>
          <w:sz w:val="36"/>
          <w:szCs w:val="36"/>
          <w:lang w:eastAsia="zh-CN"/>
        </w:rPr>
        <w:t xml:space="preserve">   </w:t>
      </w:r>
      <w:r>
        <w:rPr>
          <w:rFonts w:hint="eastAsia" w:ascii="方正小标宋简体" w:hAnsi="Calibri" w:eastAsia="方正小标宋简体" w:cs="Times New Roman"/>
          <w:sz w:val="36"/>
          <w:szCs w:val="36"/>
        </w:rPr>
        <w:t>录</w:t>
      </w:r>
    </w:p>
    <w:p w14:paraId="1FE7065E">
      <w:pPr>
        <w:keepNext w:val="0"/>
        <w:keepLines w:val="0"/>
        <w:pageBreakBefore w:val="0"/>
        <w:widowControl w:val="0"/>
        <w:kinsoku/>
        <w:wordWrap/>
        <w:overflowPunct/>
        <w:topLinePunct w:val="0"/>
        <w:bidi w:val="0"/>
        <w:snapToGrid/>
        <w:spacing w:line="600" w:lineRule="exact"/>
        <w:jc w:val="center"/>
        <w:textAlignment w:val="auto"/>
        <w:outlineLvl w:val="9"/>
        <w:rPr>
          <w:rFonts w:ascii="方正小标宋简体" w:hAnsi="Calibri" w:eastAsia="方正小标宋简体" w:cs="Times New Roman"/>
          <w:sz w:val="44"/>
          <w:szCs w:val="44"/>
        </w:rPr>
      </w:pPr>
    </w:p>
    <w:p w14:paraId="47C15D84">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bookmarkStart w:id="0" w:name="_Hlk134434084"/>
      <w:r>
        <w:rPr>
          <w:rFonts w:hint="eastAsia" w:ascii="黑体" w:hAnsi="黑体" w:eastAsia="黑体" w:cs="Times New Roman"/>
          <w:sz w:val="32"/>
          <w:szCs w:val="32"/>
        </w:rPr>
        <w:t>一、单位主要职责</w:t>
      </w:r>
    </w:p>
    <w:p w14:paraId="0FBD2667">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二、机构设置情况</w:t>
      </w:r>
    </w:p>
    <w:p w14:paraId="525D30F4">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三、预算收支及增减变化情况</w:t>
      </w:r>
    </w:p>
    <w:p w14:paraId="6D4C083E">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四、机关运行经费安排情况</w:t>
      </w:r>
    </w:p>
    <w:p w14:paraId="0D1DC369">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五、一般公共预算“三公”经费及增减变化情况</w:t>
      </w:r>
    </w:p>
    <w:p w14:paraId="2FB80E29">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六、政府采购预算安排情况</w:t>
      </w:r>
    </w:p>
    <w:p w14:paraId="3E5E5FE3">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七、国有资产占用情况</w:t>
      </w:r>
    </w:p>
    <w:p w14:paraId="7B43F20A">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八、重点项目预算绩效情况</w:t>
      </w:r>
    </w:p>
    <w:p w14:paraId="419724E4">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九、其他需要说明的情况</w:t>
      </w:r>
    </w:p>
    <w:p w14:paraId="6CEF452F">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十、专业名词解释</w:t>
      </w:r>
    </w:p>
    <w:bookmarkEnd w:id="0"/>
    <w:p w14:paraId="5E3A92E4">
      <w:pPr>
        <w:pStyle w:val="2"/>
        <w:rPr>
          <w:rFonts w:hint="eastAsia"/>
          <w:sz w:val="36"/>
          <w:szCs w:val="36"/>
          <w:lang w:eastAsia="zh-CN"/>
        </w:rPr>
      </w:pPr>
    </w:p>
    <w:p w14:paraId="62CD76BF">
      <w:pPr>
        <w:pStyle w:val="2"/>
        <w:rPr>
          <w:rFonts w:hint="eastAsia"/>
          <w:sz w:val="36"/>
          <w:szCs w:val="36"/>
          <w:lang w:eastAsia="zh-CN"/>
        </w:rPr>
      </w:pPr>
    </w:p>
    <w:p w14:paraId="104C6944">
      <w:pPr>
        <w:pStyle w:val="2"/>
        <w:rPr>
          <w:rFonts w:hint="eastAsia"/>
          <w:sz w:val="36"/>
          <w:szCs w:val="36"/>
          <w:lang w:eastAsia="zh-CN"/>
        </w:rPr>
      </w:pPr>
    </w:p>
    <w:p w14:paraId="42F681B5">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一、单位主要职责</w:t>
      </w:r>
    </w:p>
    <w:p w14:paraId="616ED5D6">
      <w:pPr>
        <w:keepNext w:val="0"/>
        <w:keepLines w:val="0"/>
        <w:pageBreakBefore w:val="0"/>
        <w:widowControl w:val="0"/>
        <w:kinsoku/>
        <w:wordWrap/>
        <w:overflowPunct/>
        <w:topLinePunct w:val="0"/>
        <w:bidi w:val="0"/>
        <w:snapToGrid/>
        <w:spacing w:line="600" w:lineRule="exact"/>
        <w:ind w:firstLine="660" w:firstLineChars="200"/>
        <w:textAlignment w:val="auto"/>
        <w:outlineLvl w:val="9"/>
        <w:rPr>
          <w:rFonts w:hint="eastAsia" w:ascii="仿宋_GB2312" w:eastAsia="仿宋_GB2312" w:cs="Times New Roman"/>
          <w:bCs/>
          <w:smallCaps/>
          <w:spacing w:val="5"/>
          <w:sz w:val="32"/>
          <w:szCs w:val="32"/>
        </w:rPr>
      </w:pPr>
      <w:r>
        <w:rPr>
          <w:rFonts w:hint="eastAsia" w:ascii="仿宋_GB2312" w:eastAsia="仿宋_GB2312" w:cs="Times New Roman"/>
          <w:bCs/>
          <w:smallCaps/>
          <w:spacing w:val="5"/>
          <w:sz w:val="32"/>
          <w:szCs w:val="32"/>
        </w:rPr>
        <w:t>省计量院荆门分院主要职责是保证全市量值统一；负责研究和建立社会公用计量标准，进行量值传递；执行强制检定、仲裁检定、商品量检测，并承担湖北省市场监督管理局、湖北省计量测试技术研究院和荆门市市场监督管理局交办的计量监督工作及其他各项工作任务，为政府计量行政部门实施计量监督提供技术保证，并自觉接受政府计量行政部门的监督和管理。</w:t>
      </w:r>
    </w:p>
    <w:p w14:paraId="13493143">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二、机构设置情况</w:t>
      </w:r>
    </w:p>
    <w:p w14:paraId="6E1B06F6">
      <w:pPr>
        <w:spacing w:line="600" w:lineRule="exact"/>
        <w:ind w:firstLine="660" w:firstLineChars="200"/>
        <w:rPr>
          <w:rFonts w:ascii="仿宋_GB2312" w:eastAsia="仿宋_GB2312"/>
          <w:bCs/>
          <w:smallCaps/>
          <w:spacing w:val="5"/>
          <w:sz w:val="32"/>
          <w:szCs w:val="32"/>
        </w:rPr>
      </w:pPr>
      <w:r>
        <w:rPr>
          <w:rFonts w:hint="eastAsia" w:ascii="仿宋_GB2312" w:eastAsia="仿宋_GB2312"/>
          <w:bCs/>
          <w:smallCaps/>
          <w:spacing w:val="5"/>
          <w:sz w:val="32"/>
          <w:szCs w:val="32"/>
        </w:rPr>
        <w:t>单位本级内设机构</w:t>
      </w:r>
      <w:r>
        <w:rPr>
          <w:rFonts w:hint="eastAsia" w:ascii="仿宋_GB2312" w:eastAsia="仿宋_GB2312"/>
          <w:bCs/>
          <w:smallCaps/>
          <w:spacing w:val="5"/>
          <w:sz w:val="32"/>
          <w:szCs w:val="32"/>
          <w:lang w:eastAsia="zh-CN"/>
        </w:rPr>
        <w:t>有</w:t>
      </w:r>
      <w:r>
        <w:rPr>
          <w:rFonts w:hint="eastAsia" w:ascii="仿宋_GB2312" w:eastAsia="仿宋_GB2312"/>
          <w:bCs/>
          <w:smallCaps/>
          <w:spacing w:val="5"/>
          <w:sz w:val="32"/>
          <w:szCs w:val="32"/>
          <w:lang w:val="en-US" w:eastAsia="zh-CN"/>
        </w:rPr>
        <w:t>9个</w:t>
      </w:r>
      <w:r>
        <w:rPr>
          <w:rFonts w:hint="eastAsia" w:ascii="仿宋_GB2312" w:eastAsia="仿宋_GB2312"/>
          <w:bCs/>
          <w:smallCaps/>
          <w:spacing w:val="5"/>
          <w:sz w:val="32"/>
          <w:szCs w:val="32"/>
        </w:rPr>
        <w:t>：</w:t>
      </w:r>
      <w:r>
        <w:rPr>
          <w:rFonts w:hint="eastAsia" w:ascii="仿宋_GB2312" w:hAnsi="黑体" w:eastAsia="仿宋_GB2312"/>
          <w:sz w:val="32"/>
          <w:szCs w:val="32"/>
        </w:rPr>
        <w:t>办公室、检测1室、检测2室、检测3室、检测4室、检测5室、财务室、质量部和业务部</w:t>
      </w:r>
      <w:r>
        <w:rPr>
          <w:rFonts w:hint="eastAsia" w:ascii="仿宋_GB2312" w:eastAsia="仿宋_GB2312"/>
          <w:bCs/>
          <w:smallCaps/>
          <w:spacing w:val="5"/>
          <w:sz w:val="32"/>
          <w:szCs w:val="32"/>
        </w:rPr>
        <w:t>。</w:t>
      </w:r>
    </w:p>
    <w:p w14:paraId="32F8B35B">
      <w:pPr>
        <w:spacing w:line="600" w:lineRule="exact"/>
        <w:ind w:firstLine="660" w:firstLineChars="200"/>
        <w:rPr>
          <w:rFonts w:hint="eastAsia" w:ascii="仿宋_GB2312" w:eastAsia="仿宋_GB2312"/>
          <w:bCs/>
          <w:smallCaps/>
          <w:spacing w:val="5"/>
          <w:sz w:val="32"/>
          <w:szCs w:val="32"/>
        </w:rPr>
      </w:pPr>
      <w:r>
        <w:rPr>
          <w:rFonts w:hint="eastAsia" w:ascii="仿宋_GB2312" w:hAnsi="仿宋_GB2312" w:eastAsia="仿宋_GB2312" w:cs="仿宋_GB2312"/>
          <w:bCs/>
          <w:smallCaps/>
          <w:spacing w:val="5"/>
          <w:sz w:val="32"/>
          <w:szCs w:val="32"/>
        </w:rPr>
        <w:t>公益二类事业单位有1家：</w:t>
      </w:r>
      <w:r>
        <w:rPr>
          <w:rFonts w:hint="eastAsia" w:ascii="仿宋_GB2312" w:hAnsi="黑体" w:eastAsia="仿宋_GB2312"/>
          <w:sz w:val="32"/>
          <w:szCs w:val="32"/>
        </w:rPr>
        <w:t>湖北省计量测试技术研究院荆门分院</w:t>
      </w:r>
      <w:r>
        <w:rPr>
          <w:rFonts w:hint="eastAsia" w:ascii="仿宋_GB2312" w:eastAsia="仿宋_GB2312"/>
          <w:bCs/>
          <w:smallCaps/>
          <w:spacing w:val="5"/>
          <w:sz w:val="32"/>
          <w:szCs w:val="32"/>
        </w:rPr>
        <w:t>。</w:t>
      </w:r>
    </w:p>
    <w:p w14:paraId="29BCC305">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其中，湖北省计量测试技术研究院荆门分院为独立的预算编制单位。</w:t>
      </w:r>
    </w:p>
    <w:p w14:paraId="35910122">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三、预算收支及增减变化情况</w:t>
      </w:r>
    </w:p>
    <w:p w14:paraId="27DB3884">
      <w:pPr>
        <w:keepNext w:val="0"/>
        <w:keepLines w:val="0"/>
        <w:pageBreakBefore w:val="0"/>
        <w:widowControl w:val="0"/>
        <w:kinsoku/>
        <w:wordWrap/>
        <w:overflowPunct/>
        <w:topLinePunct w:val="0"/>
        <w:bidi w:val="0"/>
        <w:snapToGrid/>
        <w:spacing w:line="600" w:lineRule="exact"/>
        <w:ind w:firstLine="660" w:firstLineChars="200"/>
        <w:textAlignment w:val="auto"/>
        <w:outlineLvl w:val="9"/>
        <w:rPr>
          <w:rFonts w:hint="eastAsia" w:ascii="仿宋_GB2312" w:hAnsi="Calibri" w:eastAsia="仿宋_GB2312" w:cs="Times New Roman"/>
          <w:bCs/>
          <w:smallCaps/>
          <w:spacing w:val="5"/>
          <w:sz w:val="32"/>
          <w:szCs w:val="32"/>
        </w:rPr>
      </w:pPr>
      <w:r>
        <w:rPr>
          <w:rFonts w:ascii="仿宋_GB2312" w:hAnsi="Calibri" w:eastAsia="仿宋_GB2312" w:cs="Times New Roman"/>
          <w:bCs/>
          <w:smallCaps/>
          <w:spacing w:val="5"/>
          <w:sz w:val="32"/>
          <w:szCs w:val="32"/>
        </w:rPr>
        <w:t>1.</w:t>
      </w:r>
      <w:r>
        <w:rPr>
          <w:rFonts w:hint="eastAsia" w:ascii="仿宋_GB2312" w:hAnsi="Calibri" w:eastAsia="仿宋_GB2312" w:cs="Times New Roman"/>
          <w:bCs/>
          <w:smallCaps/>
          <w:spacing w:val="5"/>
          <w:sz w:val="32"/>
          <w:szCs w:val="32"/>
        </w:rPr>
        <w:t>预算收入情况：2026年预算收入1346.99万元，比上年减少216.6万元，减少13.86%。主要原因是一般公共预算拨款收入</w:t>
      </w:r>
      <w:r>
        <w:rPr>
          <w:rFonts w:hint="eastAsia" w:ascii="仿宋_GB2312" w:eastAsia="仿宋_GB2312" w:cs="Times New Roman"/>
          <w:bCs/>
          <w:smallCaps/>
          <w:spacing w:val="5"/>
          <w:sz w:val="32"/>
          <w:szCs w:val="32"/>
          <w:lang w:eastAsia="zh-CN"/>
        </w:rPr>
        <w:t>中人员定额补助减少，预计</w:t>
      </w:r>
      <w:r>
        <w:rPr>
          <w:rFonts w:hint="eastAsia" w:ascii="仿宋_GB2312" w:hAnsi="Calibri" w:eastAsia="仿宋_GB2312" w:cs="Times New Roman"/>
          <w:bCs/>
          <w:smallCaps/>
          <w:spacing w:val="5"/>
          <w:sz w:val="32"/>
          <w:szCs w:val="32"/>
        </w:rPr>
        <w:t>事业单位经营收入减少，</w:t>
      </w:r>
      <w:r>
        <w:rPr>
          <w:rFonts w:hint="eastAsia" w:ascii="仿宋_GB2312" w:eastAsia="仿宋_GB2312" w:cs="Times New Roman"/>
          <w:bCs/>
          <w:smallCaps/>
          <w:spacing w:val="5"/>
          <w:sz w:val="32"/>
          <w:szCs w:val="32"/>
          <w:lang w:eastAsia="zh-CN"/>
        </w:rPr>
        <w:t>预计</w:t>
      </w:r>
      <w:r>
        <w:rPr>
          <w:rFonts w:hint="eastAsia" w:ascii="仿宋_GB2312" w:hAnsi="Calibri" w:eastAsia="仿宋_GB2312" w:cs="Times New Roman"/>
          <w:bCs/>
          <w:smallCaps/>
          <w:spacing w:val="5"/>
          <w:sz w:val="32"/>
          <w:szCs w:val="32"/>
        </w:rPr>
        <w:t>其他收入</w:t>
      </w:r>
      <w:r>
        <w:rPr>
          <w:rFonts w:hint="eastAsia" w:ascii="仿宋_GB2312" w:eastAsia="仿宋_GB2312" w:cs="Times New Roman"/>
          <w:bCs/>
          <w:smallCaps/>
          <w:spacing w:val="5"/>
          <w:sz w:val="32"/>
          <w:szCs w:val="32"/>
          <w:lang w:eastAsia="zh-CN"/>
        </w:rPr>
        <w:t>减少</w:t>
      </w:r>
      <w:r>
        <w:rPr>
          <w:rFonts w:hint="eastAsia" w:ascii="仿宋_GB2312" w:hAnsi="Calibri" w:eastAsia="仿宋_GB2312" w:cs="Times New Roman"/>
          <w:bCs/>
          <w:smallCaps/>
          <w:spacing w:val="5"/>
          <w:sz w:val="32"/>
          <w:szCs w:val="32"/>
        </w:rPr>
        <w:t>。其中：一般公共预算拨款收入686.99万元，比上年减少47.6万元，减少6.48%；事业单位经营收入650万元，比上年减少50万元，减少7.14%；其他收入10万元，比上年减少119万元，减少92.25%。</w:t>
      </w:r>
    </w:p>
    <w:p w14:paraId="79616D35">
      <w:pPr>
        <w:keepNext w:val="0"/>
        <w:keepLines w:val="0"/>
        <w:pageBreakBefore w:val="0"/>
        <w:widowControl w:val="0"/>
        <w:kinsoku/>
        <w:wordWrap/>
        <w:overflowPunct/>
        <w:topLinePunct w:val="0"/>
        <w:bidi w:val="0"/>
        <w:snapToGrid/>
        <w:spacing w:line="600" w:lineRule="exact"/>
        <w:ind w:firstLine="660" w:firstLineChars="200"/>
        <w:textAlignment w:val="auto"/>
        <w:outlineLvl w:val="9"/>
        <w:rPr>
          <w:rFonts w:hint="eastAsia" w:ascii="仿宋_GB2312" w:hAnsi="Calibri" w:eastAsia="仿宋_GB2312" w:cs="Times New Roman"/>
          <w:bCs/>
          <w:smallCaps/>
          <w:spacing w:val="5"/>
          <w:sz w:val="32"/>
          <w:szCs w:val="32"/>
        </w:rPr>
      </w:pPr>
      <w:r>
        <w:rPr>
          <w:rFonts w:ascii="仿宋_GB2312" w:hAnsi="Calibri" w:eastAsia="仿宋_GB2312" w:cs="Times New Roman"/>
          <w:bCs/>
          <w:smallCaps/>
          <w:spacing w:val="5"/>
          <w:sz w:val="32"/>
          <w:szCs w:val="32"/>
        </w:rPr>
        <w:t>2.</w:t>
      </w:r>
      <w:r>
        <w:rPr>
          <w:rFonts w:hint="eastAsia" w:ascii="仿宋_GB2312" w:hAnsi="Calibri" w:eastAsia="仿宋_GB2312" w:cs="Times New Roman"/>
          <w:bCs/>
          <w:smallCaps/>
          <w:spacing w:val="5"/>
          <w:sz w:val="32"/>
          <w:szCs w:val="32"/>
        </w:rPr>
        <w:t>预算支出情况：2026年预算支出1411.53万元，比上年减少177.74万元，减少11.18%。其中：一般公共服务支出1163.53万元，比上年减少149.64万元，减少11.39%；社会保障和就业支出172万元，比上年减少26.1万元，减少13.18%；住房保障支出76万元，比上年减少2万元，减少2.56%。</w:t>
      </w:r>
    </w:p>
    <w:p w14:paraId="48FC2B45">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仿宋_GB2312" w:hAnsi="Calibri" w:eastAsia="仿宋_GB2312" w:cs="Times New Roman"/>
          <w:sz w:val="32"/>
          <w:szCs w:val="32"/>
        </w:rPr>
      </w:pPr>
      <w:r>
        <w:rPr>
          <w:rFonts w:hint="eastAsia" w:ascii="仿宋_GB2312" w:hAnsi="Calibri" w:eastAsia="仿宋_GB2312" w:cs="Times New Roman"/>
          <w:sz w:val="32"/>
          <w:szCs w:val="32"/>
        </w:rPr>
        <w:t>支出</w:t>
      </w:r>
      <w:r>
        <w:rPr>
          <w:rFonts w:hint="eastAsia" w:ascii="仿宋_GB2312" w:hAnsi="Calibri" w:eastAsia="仿宋_GB2312" w:cs="Times New Roman"/>
          <w:bCs/>
          <w:smallCaps/>
          <w:spacing w:val="5"/>
          <w:sz w:val="32"/>
          <w:szCs w:val="32"/>
        </w:rPr>
        <w:t>减少</w:t>
      </w:r>
      <w:r>
        <w:rPr>
          <w:rFonts w:hint="eastAsia" w:ascii="仿宋_GB2312" w:hAnsi="Calibri" w:eastAsia="仿宋_GB2312" w:cs="Times New Roman"/>
          <w:sz w:val="32"/>
          <w:szCs w:val="32"/>
        </w:rPr>
        <w:t>的主要原因：</w:t>
      </w:r>
    </w:p>
    <w:p w14:paraId="0ED24734">
      <w:pPr>
        <w:keepNext w:val="0"/>
        <w:keepLines w:val="0"/>
        <w:pageBreakBefore w:val="0"/>
        <w:widowControl w:val="0"/>
        <w:numPr>
          <w:ilvl w:val="0"/>
          <w:numId w:val="0"/>
        </w:numPr>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1</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2026年基本支出1078.18万元，比上年</w:t>
      </w:r>
      <w:r>
        <w:rPr>
          <w:rFonts w:hint="eastAsia" w:ascii="仿宋_GB2312" w:hAnsi="仿宋_GB2312" w:eastAsia="仿宋_GB2312" w:cs="仿宋_GB2312"/>
          <w:color w:val="auto"/>
          <w:sz w:val="32"/>
          <w:szCs w:val="32"/>
          <w:highlight w:val="none"/>
          <w:u w:val="none"/>
          <w:lang w:eastAsia="zh-CN"/>
        </w:rPr>
        <w:t>减少</w:t>
      </w:r>
      <w:r>
        <w:rPr>
          <w:rFonts w:hint="eastAsia" w:ascii="仿宋_GB2312" w:hAnsi="仿宋_GB2312" w:eastAsia="仿宋_GB2312" w:cs="仿宋_GB2312"/>
          <w:color w:val="auto"/>
          <w:sz w:val="32"/>
          <w:szCs w:val="32"/>
          <w:highlight w:val="none"/>
          <w:u w:val="none"/>
          <w:lang w:val="en-US" w:eastAsia="zh-CN"/>
        </w:rPr>
        <w:t>72</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val="en-US" w:eastAsia="zh-CN"/>
        </w:rPr>
        <w:t>81</w:t>
      </w:r>
      <w:r>
        <w:rPr>
          <w:rFonts w:hint="eastAsia" w:ascii="仿宋_GB2312" w:hAnsi="仿宋_GB2312" w:eastAsia="仿宋_GB2312" w:cs="仿宋_GB2312"/>
          <w:color w:val="auto"/>
          <w:sz w:val="32"/>
          <w:szCs w:val="32"/>
          <w:highlight w:val="none"/>
          <w:u w:val="none"/>
        </w:rPr>
        <w:t>万元，</w:t>
      </w:r>
      <w:r>
        <w:rPr>
          <w:rFonts w:hint="eastAsia" w:ascii="仿宋_GB2312" w:hAnsi="仿宋_GB2312" w:eastAsia="仿宋_GB2312" w:cs="仿宋_GB2312"/>
          <w:color w:val="auto"/>
          <w:sz w:val="32"/>
          <w:szCs w:val="32"/>
          <w:highlight w:val="none"/>
          <w:u w:val="none"/>
          <w:lang w:eastAsia="zh-CN"/>
        </w:rPr>
        <w:t>减少</w:t>
      </w:r>
      <w:r>
        <w:rPr>
          <w:rFonts w:hint="eastAsia" w:ascii="仿宋_GB2312" w:hAnsi="仿宋_GB2312" w:eastAsia="仿宋_GB2312" w:cs="仿宋_GB2312"/>
          <w:color w:val="auto"/>
          <w:sz w:val="32"/>
          <w:szCs w:val="32"/>
          <w:highlight w:val="none"/>
          <w:u w:val="none"/>
          <w:lang w:val="en-US" w:eastAsia="zh-CN"/>
        </w:rPr>
        <w:t>6.3</w:t>
      </w:r>
      <w:r>
        <w:rPr>
          <w:rFonts w:hint="eastAsia" w:ascii="仿宋_GB2312" w:hAnsi="仿宋_GB2312" w:eastAsia="仿宋_GB2312" w:cs="仿宋_GB2312"/>
          <w:color w:val="auto"/>
          <w:sz w:val="32"/>
          <w:szCs w:val="32"/>
          <w:highlight w:val="none"/>
          <w:u w:val="none"/>
        </w:rPr>
        <w:t>3%，主要原因是人员经费及公用经费</w:t>
      </w:r>
      <w:r>
        <w:rPr>
          <w:rFonts w:hint="eastAsia" w:ascii="仿宋_GB2312" w:hAnsi="仿宋_GB2312" w:eastAsia="仿宋_GB2312" w:cs="仿宋_GB2312"/>
          <w:color w:val="auto"/>
          <w:sz w:val="32"/>
          <w:szCs w:val="32"/>
          <w:highlight w:val="none"/>
          <w:u w:val="none"/>
          <w:lang w:eastAsia="zh-CN"/>
        </w:rPr>
        <w:t>预算</w:t>
      </w:r>
      <w:r>
        <w:rPr>
          <w:rFonts w:hint="eastAsia" w:ascii="仿宋_GB2312" w:hAnsi="仿宋_GB2312" w:eastAsia="仿宋_GB2312" w:cs="仿宋_GB2312"/>
          <w:color w:val="auto"/>
          <w:sz w:val="32"/>
          <w:szCs w:val="32"/>
          <w:highlight w:val="none"/>
          <w:u w:val="none"/>
        </w:rPr>
        <w:t>有所</w:t>
      </w:r>
      <w:r>
        <w:rPr>
          <w:rFonts w:hint="eastAsia" w:ascii="仿宋_GB2312" w:hAnsi="仿宋_GB2312" w:eastAsia="仿宋_GB2312" w:cs="仿宋_GB2312"/>
          <w:color w:val="auto"/>
          <w:sz w:val="32"/>
          <w:szCs w:val="32"/>
          <w:highlight w:val="none"/>
          <w:u w:val="none"/>
          <w:lang w:eastAsia="zh-CN"/>
        </w:rPr>
        <w:t>减少</w:t>
      </w:r>
      <w:r>
        <w:rPr>
          <w:rFonts w:hint="eastAsia" w:ascii="仿宋_GB2312" w:hAnsi="仿宋_GB2312" w:eastAsia="仿宋_GB2312" w:cs="仿宋_GB2312"/>
          <w:color w:val="auto"/>
          <w:sz w:val="32"/>
          <w:szCs w:val="32"/>
          <w:highlight w:val="none"/>
          <w:u w:val="none"/>
        </w:rPr>
        <w:t>。</w:t>
      </w:r>
    </w:p>
    <w:p w14:paraId="5CA9FDDD">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Calibri" w:eastAsia="仿宋_GB2312" w:cs="Times New Roman"/>
          <w:sz w:val="32"/>
          <w:szCs w:val="32"/>
        </w:rPr>
      </w:pP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2026年项目支出333.35万元，比上年减少104.93万元，减少23.94%，主要原因是“</w:t>
      </w:r>
      <w:r>
        <w:rPr>
          <w:rFonts w:hint="eastAsia" w:ascii="仿宋_GB2312" w:hAnsi="仿宋_GB2312" w:eastAsia="仿宋_GB2312" w:cs="仿宋_GB2312"/>
          <w:color w:val="auto"/>
          <w:sz w:val="32"/>
          <w:szCs w:val="32"/>
          <w:highlight w:val="none"/>
          <w:u w:val="none"/>
          <w:lang w:eastAsia="zh-CN"/>
        </w:rPr>
        <w:t>计量能力建设</w:t>
      </w:r>
      <w:r>
        <w:rPr>
          <w:rFonts w:hint="eastAsia" w:ascii="仿宋_GB2312" w:hAnsi="仿宋_GB2312" w:eastAsia="仿宋_GB2312" w:cs="仿宋_GB2312"/>
          <w:color w:val="auto"/>
          <w:sz w:val="32"/>
          <w:szCs w:val="32"/>
          <w:highlight w:val="none"/>
          <w:u w:val="none"/>
        </w:rPr>
        <w:t>项目</w:t>
      </w:r>
      <w:r>
        <w:rPr>
          <w:rFonts w:hint="eastAsia" w:ascii="仿宋_GB2312" w:hAnsi="仿宋_GB2312" w:eastAsia="仿宋_GB2312" w:cs="仿宋_GB2312"/>
          <w:color w:val="auto"/>
          <w:sz w:val="32"/>
          <w:szCs w:val="32"/>
          <w:highlight w:val="none"/>
          <w:u w:val="none"/>
          <w:lang w:eastAsia="zh-CN"/>
        </w:rPr>
        <w:t>经费</w:t>
      </w:r>
      <w:r>
        <w:rPr>
          <w:rFonts w:hint="eastAsia" w:ascii="仿宋_GB2312" w:hAnsi="仿宋_GB2312" w:eastAsia="仿宋_GB2312" w:cs="仿宋_GB2312"/>
          <w:color w:val="auto"/>
          <w:sz w:val="32"/>
          <w:szCs w:val="32"/>
          <w:highlight w:val="none"/>
          <w:u w:val="none"/>
        </w:rPr>
        <w:t>”预算调减</w:t>
      </w:r>
      <w:r>
        <w:rPr>
          <w:rFonts w:hint="eastAsia" w:ascii="仿宋_GB2312" w:hAnsi="仿宋_GB2312" w:eastAsia="仿宋_GB2312" w:cs="仿宋_GB2312"/>
          <w:color w:val="auto"/>
          <w:sz w:val="32"/>
          <w:szCs w:val="32"/>
          <w:highlight w:val="none"/>
          <w:u w:val="none"/>
          <w:lang w:val="en-US" w:eastAsia="zh-CN"/>
        </w:rPr>
        <w:t>119万元</w:t>
      </w:r>
      <w:r>
        <w:rPr>
          <w:rFonts w:hint="eastAsia" w:ascii="仿宋_GB2312" w:hAnsi="仿宋_GB2312" w:eastAsia="仿宋_GB2312" w:cs="仿宋_GB2312"/>
          <w:color w:val="auto"/>
          <w:sz w:val="32"/>
          <w:szCs w:val="32"/>
          <w:highlight w:val="none"/>
          <w:u w:val="none"/>
        </w:rPr>
        <w:t>，用于计量设备更新的投入</w:t>
      </w:r>
      <w:r>
        <w:rPr>
          <w:rFonts w:hint="eastAsia" w:ascii="仿宋_GB2312" w:hAnsi="仿宋_GB2312" w:eastAsia="仿宋_GB2312" w:cs="仿宋_GB2312"/>
          <w:color w:val="auto"/>
          <w:sz w:val="32"/>
          <w:szCs w:val="32"/>
          <w:highlight w:val="none"/>
          <w:u w:val="none"/>
          <w:lang w:eastAsia="zh-CN"/>
        </w:rPr>
        <w:t>压减</w:t>
      </w:r>
      <w:r>
        <w:rPr>
          <w:rFonts w:hint="eastAsia" w:ascii="仿宋_GB2312" w:hAnsi="仿宋_GB2312" w:eastAsia="仿宋_GB2312" w:cs="仿宋_GB2312"/>
          <w:color w:val="auto"/>
          <w:sz w:val="32"/>
          <w:szCs w:val="32"/>
          <w:highlight w:val="none"/>
          <w:u w:val="none"/>
        </w:rPr>
        <w:t>。</w:t>
      </w:r>
    </w:p>
    <w:p w14:paraId="21148238">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四、机关运行经费安排情况</w:t>
      </w:r>
    </w:p>
    <w:p w14:paraId="27183AD7">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rPr>
        <w:t>2026年机关运行经费23.5万元，较上年相比减少5.4万元，减少18.69%，减少主要原因是继续压减一般性支出。其中：办公费2万元、印刷费2万元、电费2万元、公务接待费0.5万元、工会经费7万元、公务用车运行维护费10万元。</w:t>
      </w:r>
    </w:p>
    <w:p w14:paraId="2578E375">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五、一般公共预算“三公”经费增减变化情况</w:t>
      </w:r>
    </w:p>
    <w:p w14:paraId="3A2FFDEE">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2026年“三公”经费财政拨款预算10.5万元，比上年减少1万元，减少8.7%。其中：</w:t>
      </w:r>
    </w:p>
    <w:p w14:paraId="544868E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val="en-US" w:eastAsia="zh-CN"/>
        </w:rPr>
        <w:t>1.</w:t>
      </w:r>
      <w:r>
        <w:rPr>
          <w:rFonts w:hint="eastAsia" w:ascii="仿宋_GB2312" w:hAnsi="仿宋_GB2312" w:eastAsia="仿宋_GB2312" w:cs="仿宋_GB2312"/>
          <w:color w:val="auto"/>
          <w:sz w:val="32"/>
          <w:szCs w:val="32"/>
          <w:highlight w:val="none"/>
          <w:u w:val="none"/>
        </w:rPr>
        <w:t>因公出国（境）费0万元，</w:t>
      </w:r>
      <w:r>
        <w:rPr>
          <w:rFonts w:hint="eastAsia" w:ascii="仿宋_GB2312" w:hAnsi="仿宋_GB2312" w:eastAsia="仿宋_GB2312" w:cs="仿宋_GB2312"/>
          <w:color w:val="auto"/>
          <w:sz w:val="32"/>
          <w:szCs w:val="32"/>
          <w:highlight w:val="none"/>
          <w:u w:val="none"/>
          <w:lang w:eastAsia="zh-CN"/>
        </w:rPr>
        <w:t>比</w:t>
      </w:r>
      <w:r>
        <w:rPr>
          <w:rFonts w:hint="eastAsia" w:ascii="仿宋_GB2312" w:hAnsi="仿宋_GB2312" w:eastAsia="仿宋_GB2312" w:cs="仿宋_GB2312"/>
          <w:color w:val="auto"/>
          <w:sz w:val="32"/>
          <w:szCs w:val="32"/>
          <w:highlight w:val="none"/>
          <w:u w:val="none"/>
        </w:rPr>
        <w:t>上年</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lang w:val="en-US" w:eastAsia="zh-CN"/>
        </w:rPr>
        <w:t>0万元，</w:t>
      </w:r>
      <w:r>
        <w:rPr>
          <w:rFonts w:hint="eastAsia" w:ascii="仿宋_GB2312" w:hAnsi="宋体" w:eastAsia="仿宋_GB2312" w:cs="宋体"/>
          <w:color w:val="auto"/>
          <w:kern w:val="0"/>
          <w:sz w:val="32"/>
          <w:szCs w:val="32"/>
          <w:highlight w:val="none"/>
          <w:lang w:eastAsia="zh-CN"/>
        </w:rPr>
        <w:t>与上年相比无增加或减少变化</w:t>
      </w:r>
      <w:r>
        <w:rPr>
          <w:rFonts w:hint="eastAsia" w:ascii="仿宋_GB2312" w:hAnsi="MS Mincho" w:eastAsia="仿宋_GB2312" w:cs="MS Mincho"/>
          <w:color w:val="auto"/>
          <w:kern w:val="0"/>
          <w:sz w:val="32"/>
          <w:szCs w:val="32"/>
          <w:highlight w:val="none"/>
        </w:rPr>
        <w:t>。</w:t>
      </w:r>
    </w:p>
    <w:p w14:paraId="54A7730C">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公务接待费0.5万元，比上年减少1万元，减少66.67%</w:t>
      </w:r>
      <w:r>
        <w:rPr>
          <w:rFonts w:hint="eastAsia" w:ascii="仿宋_GB2312" w:hAnsi="仿宋_GB2312" w:eastAsia="仿宋_GB2312" w:cs="仿宋_GB2312"/>
          <w:color w:val="auto"/>
          <w:sz w:val="32"/>
          <w:szCs w:val="32"/>
          <w:highlight w:val="none"/>
          <w:u w:val="none"/>
          <w:lang w:eastAsia="zh-CN"/>
        </w:rPr>
        <w:t>，主要原因是大力压减公务接待费支出。</w:t>
      </w:r>
    </w:p>
    <w:p w14:paraId="4497FF1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z w:val="32"/>
          <w:szCs w:val="32"/>
          <w:highlight w:val="none"/>
          <w:u w:val="none"/>
        </w:rPr>
        <w:t>公务用车购置及运行维护费10万元，</w:t>
      </w:r>
      <w:r>
        <w:rPr>
          <w:rFonts w:hint="eastAsia" w:ascii="仿宋_GB2312" w:hAnsi="仿宋_GB2312" w:eastAsia="仿宋_GB2312" w:cs="仿宋_GB2312"/>
          <w:color w:val="auto"/>
          <w:sz w:val="32"/>
          <w:szCs w:val="32"/>
          <w:highlight w:val="none"/>
          <w:u w:val="none"/>
          <w:lang w:eastAsia="zh-CN"/>
        </w:rPr>
        <w:t>与上年比无变化</w:t>
      </w:r>
      <w:r>
        <w:rPr>
          <w:rFonts w:hint="eastAsia" w:ascii="仿宋_GB2312" w:hAnsi="仿宋_GB2312" w:eastAsia="仿宋_GB2312" w:cs="仿宋_GB2312"/>
          <w:color w:val="auto"/>
          <w:sz w:val="32"/>
          <w:szCs w:val="32"/>
          <w:highlight w:val="none"/>
          <w:u w:val="none"/>
        </w:rPr>
        <w:t>。其中：公务用车购置0万元</w:t>
      </w:r>
      <w:r>
        <w:rPr>
          <w:rFonts w:hint="eastAsia" w:ascii="仿宋_GB2312" w:hAnsi="仿宋_GB2312" w:eastAsia="仿宋_GB2312" w:cs="仿宋_GB2312"/>
          <w:color w:val="auto"/>
          <w:sz w:val="32"/>
          <w:szCs w:val="32"/>
          <w:highlight w:val="none"/>
          <w:u w:val="none"/>
          <w:lang w:eastAsia="zh-CN"/>
        </w:rPr>
        <w:t>，</w:t>
      </w:r>
      <w:r>
        <w:rPr>
          <w:rFonts w:hint="eastAsia" w:ascii="仿宋_GB2312" w:hAnsi="MS Mincho" w:eastAsia="仿宋_GB2312" w:cs="MS Mincho"/>
          <w:color w:val="auto"/>
          <w:kern w:val="0"/>
          <w:sz w:val="32"/>
          <w:szCs w:val="32"/>
          <w:highlight w:val="none"/>
          <w:u w:val="none"/>
        </w:rPr>
        <w:t>主要原因是</w:t>
      </w:r>
      <w:r>
        <w:rPr>
          <w:rFonts w:hint="eastAsia" w:ascii="仿宋_GB2312" w:hAnsi="MS Mincho" w:eastAsia="仿宋_GB2312" w:cs="MS Mincho"/>
          <w:color w:val="auto"/>
          <w:kern w:val="0"/>
          <w:sz w:val="32"/>
          <w:szCs w:val="32"/>
          <w:highlight w:val="none"/>
          <w:u w:val="none"/>
          <w:lang w:val="en-US" w:eastAsia="zh-CN"/>
        </w:rPr>
        <w:t>本年无</w:t>
      </w:r>
      <w:r>
        <w:rPr>
          <w:rFonts w:hint="eastAsia" w:ascii="仿宋_GB2312" w:hAnsi="MS Mincho" w:eastAsia="仿宋_GB2312" w:cs="MS Mincho"/>
          <w:color w:val="auto"/>
          <w:kern w:val="0"/>
          <w:sz w:val="32"/>
          <w:szCs w:val="32"/>
          <w:highlight w:val="none"/>
          <w:u w:val="none"/>
          <w:lang w:eastAsia="zh-CN"/>
        </w:rPr>
        <w:t>公务用车购置</w:t>
      </w:r>
      <w:r>
        <w:rPr>
          <w:rFonts w:hint="eastAsia" w:ascii="仿宋_GB2312" w:hAnsi="MS Mincho" w:eastAsia="仿宋_GB2312" w:cs="MS Mincho"/>
          <w:color w:val="auto"/>
          <w:kern w:val="0"/>
          <w:sz w:val="32"/>
          <w:szCs w:val="32"/>
          <w:highlight w:val="none"/>
          <w:u w:val="none"/>
          <w:lang w:val="en-US" w:eastAsia="zh-CN"/>
        </w:rPr>
        <w:t>计划</w:t>
      </w:r>
      <w:r>
        <w:rPr>
          <w:rFonts w:hint="eastAsia" w:ascii="仿宋_GB2312" w:hAnsi="仿宋_GB2312" w:eastAsia="仿宋_GB2312" w:cs="仿宋_GB2312"/>
          <w:color w:val="auto"/>
          <w:sz w:val="32"/>
          <w:szCs w:val="32"/>
          <w:highlight w:val="none"/>
          <w:u w:val="none"/>
        </w:rPr>
        <w:t>；公务用车运行维护费10万元，</w:t>
      </w:r>
      <w:r>
        <w:rPr>
          <w:rFonts w:hint="eastAsia" w:ascii="仿宋_GB2312" w:hAnsi="仿宋_GB2312" w:eastAsia="仿宋_GB2312" w:cs="仿宋_GB2312"/>
          <w:color w:val="auto"/>
          <w:sz w:val="32"/>
          <w:szCs w:val="32"/>
          <w:highlight w:val="none"/>
          <w:u w:val="none"/>
          <w:lang w:eastAsia="zh-CN"/>
        </w:rPr>
        <w:t>比上年增加</w:t>
      </w:r>
      <w:r>
        <w:rPr>
          <w:rFonts w:hint="eastAsia" w:ascii="仿宋_GB2312" w:hAnsi="仿宋_GB2312" w:eastAsia="仿宋_GB2312" w:cs="仿宋_GB2312"/>
          <w:color w:val="auto"/>
          <w:sz w:val="32"/>
          <w:szCs w:val="32"/>
          <w:highlight w:val="none"/>
          <w:u w:val="none"/>
          <w:lang w:val="en-US" w:eastAsia="zh-CN"/>
        </w:rPr>
        <w:t>0万元，</w:t>
      </w:r>
      <w:r>
        <w:rPr>
          <w:rFonts w:hint="eastAsia" w:ascii="仿宋_GB2312" w:hAnsi="宋体" w:eastAsia="仿宋_GB2312" w:cs="宋体"/>
          <w:color w:val="auto"/>
          <w:kern w:val="0"/>
          <w:sz w:val="32"/>
          <w:szCs w:val="32"/>
          <w:highlight w:val="none"/>
          <w:lang w:eastAsia="zh-CN"/>
        </w:rPr>
        <w:t>与</w:t>
      </w:r>
      <w:r>
        <w:rPr>
          <w:rFonts w:hint="eastAsia" w:ascii="仿宋_GB2312" w:hAnsi="宋体" w:eastAsia="仿宋_GB2312" w:cs="宋体"/>
          <w:kern w:val="0"/>
          <w:sz w:val="32"/>
          <w:szCs w:val="32"/>
          <w:highlight w:val="none"/>
          <w:lang w:eastAsia="zh-CN"/>
        </w:rPr>
        <w:t>上年相比无增加或减少变化</w:t>
      </w:r>
      <w:r>
        <w:rPr>
          <w:rFonts w:hint="eastAsia" w:ascii="仿宋_GB2312" w:hAnsi="MS Mincho" w:eastAsia="仿宋_GB2312" w:cs="MS Mincho"/>
          <w:kern w:val="0"/>
          <w:sz w:val="32"/>
          <w:szCs w:val="32"/>
          <w:highlight w:val="none"/>
        </w:rPr>
        <w:t>。</w:t>
      </w:r>
    </w:p>
    <w:p w14:paraId="4BE8E947">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六、政府采购预算安排情况</w:t>
      </w:r>
    </w:p>
    <w:p w14:paraId="53FD9CF1">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仿宋_GB2312" w:hAnsi="Calibri" w:eastAsia="仿宋_GB2312" w:cs="Times New Roman"/>
          <w:color w:val="auto"/>
          <w:sz w:val="32"/>
          <w:szCs w:val="32"/>
          <w:highlight w:val="none"/>
          <w:u w:val="none"/>
        </w:rPr>
      </w:pPr>
      <w:r>
        <w:rPr>
          <w:rFonts w:ascii="仿宋_GB2312" w:hAnsi="Calibri" w:eastAsia="仿宋_GB2312" w:cs="Times New Roman"/>
          <w:color w:val="auto"/>
          <w:sz w:val="32"/>
          <w:szCs w:val="32"/>
          <w:highlight w:val="none"/>
          <w:u w:val="none"/>
        </w:rPr>
        <w:t>202</w:t>
      </w:r>
      <w:r>
        <w:rPr>
          <w:rFonts w:hint="eastAsia" w:ascii="仿宋_GB2312" w:eastAsia="仿宋_GB2312" w:cs="Times New Roman"/>
          <w:color w:val="auto"/>
          <w:sz w:val="32"/>
          <w:szCs w:val="32"/>
          <w:highlight w:val="none"/>
          <w:u w:val="none"/>
          <w:lang w:val="en-US" w:eastAsia="zh-CN"/>
        </w:rPr>
        <w:t>6</w:t>
      </w:r>
      <w:r>
        <w:rPr>
          <w:rFonts w:hint="eastAsia" w:ascii="仿宋_GB2312" w:hAnsi="Calibri" w:eastAsia="仿宋_GB2312" w:cs="Times New Roman"/>
          <w:color w:val="auto"/>
          <w:sz w:val="32"/>
          <w:szCs w:val="32"/>
          <w:highlight w:val="none"/>
          <w:u w:val="none"/>
        </w:rPr>
        <w:t>年湖北省计量测试技术研究院荆门分院编制政府采购预算</w:t>
      </w:r>
      <w:r>
        <w:rPr>
          <w:rFonts w:hint="eastAsia" w:ascii="仿宋_GB2312" w:hAnsi="Calibri" w:eastAsia="仿宋_GB2312" w:cs="Times New Roman"/>
          <w:color w:val="auto"/>
          <w:sz w:val="32"/>
          <w:szCs w:val="32"/>
          <w:highlight w:val="none"/>
          <w:u w:val="none"/>
          <w:lang w:val="en-US" w:eastAsia="zh-CN"/>
        </w:rPr>
        <w:t>1</w:t>
      </w:r>
      <w:r>
        <w:rPr>
          <w:rFonts w:hint="eastAsia" w:ascii="仿宋_GB2312" w:eastAsia="仿宋_GB2312" w:cs="Times New Roman"/>
          <w:color w:val="auto"/>
          <w:sz w:val="32"/>
          <w:szCs w:val="32"/>
          <w:highlight w:val="none"/>
          <w:u w:val="none"/>
          <w:lang w:val="en-US" w:eastAsia="zh-CN"/>
        </w:rPr>
        <w:t>00</w:t>
      </w:r>
      <w:r>
        <w:rPr>
          <w:rFonts w:hint="eastAsia" w:ascii="仿宋_GB2312" w:hAnsi="Calibri" w:eastAsia="仿宋_GB2312" w:cs="Times New Roman"/>
          <w:color w:val="auto"/>
          <w:sz w:val="32"/>
          <w:szCs w:val="32"/>
          <w:highlight w:val="none"/>
          <w:u w:val="none"/>
        </w:rPr>
        <w:t>万元，比上年度</w:t>
      </w:r>
      <w:r>
        <w:rPr>
          <w:rFonts w:hint="eastAsia" w:ascii="仿宋_GB2312" w:eastAsia="仿宋_GB2312" w:cs="Times New Roman"/>
          <w:color w:val="auto"/>
          <w:sz w:val="32"/>
          <w:szCs w:val="32"/>
          <w:highlight w:val="none"/>
          <w:u w:val="none"/>
          <w:lang w:eastAsia="zh-CN"/>
        </w:rPr>
        <w:t>减少</w:t>
      </w:r>
      <w:r>
        <w:rPr>
          <w:rFonts w:hint="eastAsia" w:ascii="仿宋_GB2312" w:eastAsia="仿宋_GB2312" w:cs="Times New Roman"/>
          <w:color w:val="auto"/>
          <w:sz w:val="32"/>
          <w:szCs w:val="32"/>
          <w:highlight w:val="none"/>
          <w:u w:val="none"/>
          <w:lang w:val="en-US" w:eastAsia="zh-CN"/>
        </w:rPr>
        <w:t>79.5</w:t>
      </w:r>
      <w:r>
        <w:rPr>
          <w:rFonts w:hint="eastAsia" w:ascii="仿宋_GB2312" w:hAnsi="Calibri" w:eastAsia="仿宋_GB2312" w:cs="Times New Roman"/>
          <w:color w:val="auto"/>
          <w:sz w:val="32"/>
          <w:szCs w:val="32"/>
          <w:highlight w:val="none"/>
          <w:u w:val="none"/>
        </w:rPr>
        <w:t>万元，</w:t>
      </w:r>
      <w:r>
        <w:rPr>
          <w:rFonts w:hint="eastAsia" w:ascii="仿宋_GB2312" w:eastAsia="仿宋_GB2312" w:cs="Times New Roman"/>
          <w:color w:val="auto"/>
          <w:sz w:val="32"/>
          <w:szCs w:val="32"/>
          <w:highlight w:val="none"/>
          <w:u w:val="none"/>
          <w:lang w:eastAsia="zh-CN"/>
        </w:rPr>
        <w:t>减少</w:t>
      </w:r>
      <w:r>
        <w:rPr>
          <w:rFonts w:hint="eastAsia" w:ascii="仿宋_GB2312" w:eastAsia="仿宋_GB2312" w:cs="Times New Roman"/>
          <w:color w:val="auto"/>
          <w:sz w:val="32"/>
          <w:szCs w:val="32"/>
          <w:highlight w:val="none"/>
          <w:u w:val="none"/>
          <w:lang w:val="en-US" w:eastAsia="zh-CN"/>
        </w:rPr>
        <w:t>44</w:t>
      </w:r>
      <w:r>
        <w:rPr>
          <w:rFonts w:hint="eastAsia" w:ascii="仿宋_GB2312" w:hAnsi="Calibri" w:eastAsia="仿宋_GB2312" w:cs="Times New Roman"/>
          <w:color w:val="auto"/>
          <w:sz w:val="32"/>
          <w:szCs w:val="32"/>
          <w:highlight w:val="none"/>
          <w:u w:val="none"/>
          <w:lang w:val="en-US" w:eastAsia="zh-CN"/>
        </w:rPr>
        <w:t>.2</w:t>
      </w:r>
      <w:r>
        <w:rPr>
          <w:rFonts w:hint="eastAsia" w:ascii="仿宋_GB2312" w:eastAsia="仿宋_GB2312" w:cs="Times New Roman"/>
          <w:color w:val="auto"/>
          <w:sz w:val="32"/>
          <w:szCs w:val="32"/>
          <w:highlight w:val="none"/>
          <w:u w:val="none"/>
          <w:lang w:val="en-US" w:eastAsia="zh-CN"/>
        </w:rPr>
        <w:t>9</w:t>
      </w:r>
      <w:r>
        <w:rPr>
          <w:rFonts w:ascii="仿宋_GB2312" w:hAnsi="Calibri" w:eastAsia="仿宋_GB2312" w:cs="Times New Roman"/>
          <w:color w:val="auto"/>
          <w:sz w:val="32"/>
          <w:szCs w:val="32"/>
          <w:highlight w:val="none"/>
          <w:u w:val="none"/>
        </w:rPr>
        <w:t>%</w:t>
      </w:r>
      <w:r>
        <w:rPr>
          <w:rFonts w:hint="eastAsia" w:ascii="仿宋_GB2312" w:hAnsi="Calibri" w:eastAsia="仿宋_GB2312" w:cs="Times New Roman"/>
          <w:color w:val="auto"/>
          <w:sz w:val="32"/>
          <w:szCs w:val="32"/>
          <w:highlight w:val="none"/>
          <w:u w:val="none"/>
        </w:rPr>
        <w:t>，主要原因是本年度</w:t>
      </w:r>
      <w:r>
        <w:rPr>
          <w:rFonts w:hint="eastAsia" w:ascii="仿宋_GB2312" w:eastAsia="仿宋_GB2312" w:cs="Times New Roman"/>
          <w:color w:val="auto"/>
          <w:sz w:val="32"/>
          <w:szCs w:val="32"/>
          <w:highlight w:val="none"/>
          <w:u w:val="none"/>
          <w:lang w:eastAsia="zh-CN"/>
        </w:rPr>
        <w:t>减少</w:t>
      </w:r>
      <w:r>
        <w:rPr>
          <w:rFonts w:hint="eastAsia" w:ascii="仿宋_GB2312" w:hAnsi="Calibri" w:eastAsia="仿宋_GB2312" w:cs="Times New Roman"/>
          <w:color w:val="auto"/>
          <w:sz w:val="32"/>
          <w:szCs w:val="32"/>
          <w:highlight w:val="none"/>
          <w:u w:val="none"/>
        </w:rPr>
        <w:t>能力建设项目专用设备采购金额</w:t>
      </w:r>
      <w:r>
        <w:rPr>
          <w:rFonts w:hint="eastAsia" w:ascii="仿宋_GB2312" w:eastAsia="仿宋_GB2312" w:cs="Times New Roman"/>
          <w:color w:val="auto"/>
          <w:sz w:val="32"/>
          <w:szCs w:val="32"/>
          <w:highlight w:val="none"/>
          <w:u w:val="none"/>
          <w:lang w:val="en-US" w:eastAsia="zh-CN"/>
        </w:rPr>
        <w:t>79万元，减少复印纸采购金额0.5万元</w:t>
      </w:r>
      <w:r>
        <w:rPr>
          <w:rFonts w:hint="eastAsia" w:ascii="仿宋_GB2312" w:hAnsi="Calibri" w:eastAsia="仿宋_GB2312" w:cs="Times New Roman"/>
          <w:color w:val="auto"/>
          <w:sz w:val="32"/>
          <w:szCs w:val="32"/>
          <w:highlight w:val="none"/>
          <w:u w:val="none"/>
        </w:rPr>
        <w:t>。其中：货物类政府采购预算</w:t>
      </w:r>
      <w:r>
        <w:rPr>
          <w:rFonts w:hint="eastAsia" w:ascii="仿宋_GB2312" w:eastAsia="仿宋_GB2312" w:cs="Times New Roman"/>
          <w:color w:val="auto"/>
          <w:sz w:val="32"/>
          <w:szCs w:val="32"/>
          <w:highlight w:val="none"/>
          <w:u w:val="none"/>
          <w:lang w:val="en-US" w:eastAsia="zh-CN"/>
        </w:rPr>
        <w:t>100</w:t>
      </w:r>
      <w:r>
        <w:rPr>
          <w:rFonts w:hint="eastAsia" w:ascii="仿宋_GB2312" w:hAnsi="Calibri" w:eastAsia="仿宋_GB2312" w:cs="Times New Roman"/>
          <w:color w:val="auto"/>
          <w:sz w:val="32"/>
          <w:szCs w:val="32"/>
          <w:highlight w:val="none"/>
          <w:u w:val="none"/>
        </w:rPr>
        <w:t>万元，</w:t>
      </w:r>
      <w:r>
        <w:rPr>
          <w:rFonts w:hint="eastAsia" w:ascii="仿宋_GB2312" w:hAnsi="Calibri" w:eastAsia="仿宋_GB2312" w:cs="Times New Roman"/>
          <w:color w:val="auto"/>
          <w:sz w:val="32"/>
          <w:szCs w:val="32"/>
          <w:highlight w:val="none"/>
          <w:u w:val="none"/>
          <w:lang w:eastAsia="zh-CN"/>
        </w:rPr>
        <w:t>主要用于</w:t>
      </w:r>
      <w:r>
        <w:rPr>
          <w:rFonts w:hint="eastAsia" w:ascii="仿宋_GB2312" w:hAnsi="Calibri" w:eastAsia="仿宋_GB2312" w:cs="Times New Roman"/>
          <w:color w:val="auto"/>
          <w:sz w:val="32"/>
          <w:szCs w:val="32"/>
          <w:highlight w:val="none"/>
          <w:u w:val="none"/>
        </w:rPr>
        <w:t>单位能力建设项目专用设备采购；工程类政府采购预算</w:t>
      </w:r>
      <w:r>
        <w:rPr>
          <w:rFonts w:hint="eastAsia" w:ascii="仿宋_GB2312" w:hAnsi="Calibri" w:eastAsia="仿宋_GB2312" w:cs="Times New Roman"/>
          <w:color w:val="auto"/>
          <w:sz w:val="32"/>
          <w:szCs w:val="32"/>
          <w:highlight w:val="none"/>
          <w:u w:val="none"/>
          <w:lang w:val="en-US" w:eastAsia="zh-CN"/>
        </w:rPr>
        <w:t>0</w:t>
      </w:r>
      <w:r>
        <w:rPr>
          <w:rFonts w:hint="eastAsia" w:ascii="仿宋_GB2312" w:hAnsi="Calibri" w:eastAsia="仿宋_GB2312" w:cs="Times New Roman"/>
          <w:color w:val="auto"/>
          <w:sz w:val="32"/>
          <w:szCs w:val="32"/>
          <w:highlight w:val="none"/>
          <w:u w:val="none"/>
        </w:rPr>
        <w:t>万元；服务类政府采购预算</w:t>
      </w:r>
      <w:r>
        <w:rPr>
          <w:rFonts w:hint="eastAsia" w:ascii="仿宋_GB2312" w:hAnsi="Calibri" w:eastAsia="仿宋_GB2312" w:cs="Times New Roman"/>
          <w:color w:val="auto"/>
          <w:sz w:val="32"/>
          <w:szCs w:val="32"/>
          <w:highlight w:val="none"/>
          <w:u w:val="none"/>
          <w:lang w:val="en-US" w:eastAsia="zh-CN"/>
        </w:rPr>
        <w:t>0</w:t>
      </w:r>
      <w:r>
        <w:rPr>
          <w:rFonts w:hint="eastAsia" w:ascii="仿宋_GB2312" w:hAnsi="Calibri" w:eastAsia="仿宋_GB2312" w:cs="Times New Roman"/>
          <w:color w:val="auto"/>
          <w:sz w:val="32"/>
          <w:szCs w:val="32"/>
          <w:highlight w:val="none"/>
          <w:u w:val="none"/>
        </w:rPr>
        <w:t>万元。</w:t>
      </w:r>
    </w:p>
    <w:p w14:paraId="6C4AEA25">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Calibri" w:eastAsia="仿宋_GB2312" w:cs="Times New Roman"/>
          <w:color w:val="auto"/>
          <w:sz w:val="32"/>
          <w:szCs w:val="32"/>
          <w:highlight w:val="none"/>
          <w:u w:val="none"/>
        </w:rPr>
      </w:pPr>
      <w:r>
        <w:rPr>
          <w:rFonts w:ascii="仿宋_GB2312" w:hAnsi="Calibri" w:eastAsia="仿宋_GB2312" w:cs="Times New Roman"/>
          <w:color w:val="auto"/>
          <w:sz w:val="32"/>
          <w:szCs w:val="32"/>
          <w:highlight w:val="none"/>
          <w:u w:val="none"/>
        </w:rPr>
        <w:t>202</w:t>
      </w:r>
      <w:r>
        <w:rPr>
          <w:rFonts w:hint="eastAsia" w:ascii="仿宋_GB2312" w:eastAsia="仿宋_GB2312" w:cs="Times New Roman"/>
          <w:color w:val="auto"/>
          <w:sz w:val="32"/>
          <w:szCs w:val="32"/>
          <w:highlight w:val="none"/>
          <w:u w:val="none"/>
          <w:lang w:val="en-US" w:eastAsia="zh-CN"/>
        </w:rPr>
        <w:t>6</w:t>
      </w:r>
      <w:r>
        <w:rPr>
          <w:rFonts w:hint="eastAsia" w:ascii="仿宋_GB2312" w:hAnsi="Calibri" w:eastAsia="仿宋_GB2312" w:cs="Times New Roman"/>
          <w:color w:val="auto"/>
          <w:sz w:val="32"/>
          <w:szCs w:val="32"/>
          <w:highlight w:val="none"/>
          <w:u w:val="none"/>
        </w:rPr>
        <w:t>年，面向中小企业采购预算</w:t>
      </w:r>
      <w:r>
        <w:rPr>
          <w:rFonts w:hint="eastAsia" w:ascii="仿宋_GB2312" w:eastAsia="仿宋_GB2312" w:cs="Times New Roman"/>
          <w:color w:val="auto"/>
          <w:sz w:val="32"/>
          <w:szCs w:val="32"/>
          <w:highlight w:val="none"/>
          <w:u w:val="none"/>
          <w:lang w:val="en-US" w:eastAsia="zh-CN"/>
        </w:rPr>
        <w:t>100</w:t>
      </w:r>
      <w:r>
        <w:rPr>
          <w:rFonts w:hint="eastAsia" w:ascii="仿宋_GB2312" w:hAnsi="Calibri" w:eastAsia="仿宋_GB2312" w:cs="Times New Roman"/>
          <w:color w:val="auto"/>
          <w:sz w:val="32"/>
          <w:szCs w:val="32"/>
          <w:highlight w:val="none"/>
          <w:u w:val="none"/>
        </w:rPr>
        <w:t>万元，其中面向小</w:t>
      </w:r>
      <w:bookmarkStart w:id="1" w:name="_GoBack"/>
      <w:bookmarkEnd w:id="1"/>
      <w:r>
        <w:rPr>
          <w:rFonts w:hint="eastAsia" w:ascii="仿宋_GB2312" w:hAnsi="Calibri" w:eastAsia="仿宋_GB2312" w:cs="Times New Roman"/>
          <w:color w:val="auto"/>
          <w:sz w:val="32"/>
          <w:szCs w:val="32"/>
          <w:highlight w:val="none"/>
          <w:u w:val="none"/>
        </w:rPr>
        <w:t>微企业采购预算</w:t>
      </w:r>
      <w:r>
        <w:rPr>
          <w:rFonts w:hint="eastAsia" w:ascii="仿宋_GB2312" w:eastAsia="仿宋_GB2312" w:cs="Times New Roman"/>
          <w:color w:val="auto"/>
          <w:sz w:val="32"/>
          <w:szCs w:val="32"/>
          <w:highlight w:val="none"/>
          <w:u w:val="none"/>
          <w:lang w:val="en-US" w:eastAsia="zh-CN"/>
        </w:rPr>
        <w:t>90</w:t>
      </w:r>
      <w:r>
        <w:rPr>
          <w:rFonts w:hint="eastAsia" w:ascii="仿宋_GB2312" w:hAnsi="Calibri" w:eastAsia="仿宋_GB2312" w:cs="Times New Roman"/>
          <w:color w:val="auto"/>
          <w:sz w:val="32"/>
          <w:szCs w:val="32"/>
          <w:highlight w:val="none"/>
          <w:u w:val="none"/>
        </w:rPr>
        <w:t>万元。</w:t>
      </w:r>
    </w:p>
    <w:p w14:paraId="2A52D601">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七、国有资产占用情况</w:t>
      </w:r>
    </w:p>
    <w:p w14:paraId="5543E39A">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u w:val="none"/>
          <w:lang w:eastAsia="zh-CN"/>
        </w:rPr>
      </w:pPr>
      <w:r>
        <w:rPr>
          <w:rFonts w:hint="eastAsia" w:ascii="仿宋_GB2312" w:hAnsi="仿宋_GB2312" w:eastAsia="仿宋_GB2312" w:cs="仿宋_GB2312"/>
          <w:color w:val="auto"/>
          <w:kern w:val="0"/>
          <w:sz w:val="32"/>
          <w:szCs w:val="32"/>
          <w:highlight w:val="none"/>
          <w:u w:val="none"/>
          <w:lang w:eastAsia="zh-CN"/>
        </w:rPr>
        <w:t>截至202</w:t>
      </w:r>
      <w:r>
        <w:rPr>
          <w:rFonts w:hint="eastAsia" w:ascii="仿宋_GB2312" w:hAnsi="仿宋_GB2312" w:eastAsia="仿宋_GB2312" w:cs="仿宋_GB2312"/>
          <w:color w:val="auto"/>
          <w:kern w:val="0"/>
          <w:sz w:val="32"/>
          <w:szCs w:val="32"/>
          <w:highlight w:val="none"/>
          <w:u w:val="none"/>
          <w:lang w:val="en-US" w:eastAsia="zh-CN"/>
        </w:rPr>
        <w:t>6</w:t>
      </w:r>
      <w:r>
        <w:rPr>
          <w:rFonts w:hint="eastAsia" w:ascii="仿宋_GB2312" w:hAnsi="仿宋_GB2312" w:eastAsia="仿宋_GB2312" w:cs="仿宋_GB2312"/>
          <w:color w:val="auto"/>
          <w:kern w:val="0"/>
          <w:sz w:val="32"/>
          <w:szCs w:val="32"/>
          <w:highlight w:val="none"/>
          <w:u w:val="none"/>
          <w:lang w:eastAsia="zh-CN"/>
        </w:rPr>
        <w:t>年，湖北省计量测试技术研究院荆门分院占有房屋面积2646.4平方米，其中：办公用房建筑面积9</w:t>
      </w:r>
      <w:r>
        <w:rPr>
          <w:rFonts w:hint="eastAsia" w:ascii="仿宋_GB2312" w:hAnsi="仿宋_GB2312" w:eastAsia="仿宋_GB2312" w:cs="仿宋_GB2312"/>
          <w:color w:val="auto"/>
          <w:kern w:val="0"/>
          <w:sz w:val="32"/>
          <w:szCs w:val="32"/>
          <w:highlight w:val="none"/>
          <w:u w:val="none"/>
          <w:lang w:val="en-US" w:eastAsia="zh-CN"/>
        </w:rPr>
        <w:t>00</w:t>
      </w:r>
      <w:r>
        <w:rPr>
          <w:rFonts w:hint="eastAsia" w:ascii="仿宋_GB2312" w:hAnsi="仿宋_GB2312" w:eastAsia="仿宋_GB2312" w:cs="仿宋_GB2312"/>
          <w:color w:val="auto"/>
          <w:kern w:val="0"/>
          <w:sz w:val="32"/>
          <w:szCs w:val="32"/>
          <w:highlight w:val="none"/>
          <w:u w:val="none"/>
          <w:lang w:eastAsia="zh-CN"/>
        </w:rPr>
        <w:t>平方米，其他17</w:t>
      </w:r>
      <w:r>
        <w:rPr>
          <w:rFonts w:hint="eastAsia" w:ascii="仿宋_GB2312" w:hAnsi="仿宋_GB2312" w:eastAsia="仿宋_GB2312" w:cs="仿宋_GB2312"/>
          <w:color w:val="auto"/>
          <w:kern w:val="0"/>
          <w:sz w:val="32"/>
          <w:szCs w:val="32"/>
          <w:highlight w:val="none"/>
          <w:u w:val="none"/>
          <w:lang w:val="en-US" w:eastAsia="zh-CN"/>
        </w:rPr>
        <w:t>46</w:t>
      </w:r>
      <w:r>
        <w:rPr>
          <w:rFonts w:hint="eastAsia" w:ascii="仿宋_GB2312" w:hAnsi="仿宋_GB2312" w:eastAsia="仿宋_GB2312" w:cs="仿宋_GB2312"/>
          <w:color w:val="auto"/>
          <w:kern w:val="0"/>
          <w:sz w:val="32"/>
          <w:szCs w:val="32"/>
          <w:highlight w:val="none"/>
          <w:u w:val="none"/>
          <w:lang w:eastAsia="zh-CN"/>
        </w:rPr>
        <w:t>.4平方米。公务用车5辆，其中：副省级及以上领导干部用车0辆、主要领导干部用车0辆、机要通信用车0辆、应急保障用车0辆、执法执勤用车0辆、特种专业技术用车2辆、离退休干部服务用车0辆、其他用车3辆，其他用车主要是计量检测业务车辆。单价50万元以上的通用设备0台（套），单价100万元以上的专用设备数量为0台（套）。</w:t>
      </w:r>
    </w:p>
    <w:p w14:paraId="777946D9">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highlight w:val="yellow"/>
        </w:rPr>
      </w:pPr>
      <w:r>
        <w:rPr>
          <w:rFonts w:hint="eastAsia" w:ascii="黑体" w:hAnsi="黑体" w:eastAsia="黑体" w:cs="Times New Roman"/>
          <w:sz w:val="32"/>
          <w:szCs w:val="32"/>
        </w:rPr>
        <w:t>八、重点项目预算绩效情况</w:t>
      </w:r>
    </w:p>
    <w:p w14:paraId="0E9D1F3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计量检定及市场监查项目经费”主要内容是根据《计量法》和《法定计量检定机构监督管理办法》的有关规定，建立以计量基准、社会公用计量标准或者本专业项目的计量标准并承办湖北省技术测试研究院和荆门市市场监督管理局交办的有关计量监督工作及教育培训等其它任务，为政府计量行政部门实施计量监督提供技术保证。2</w:t>
      </w:r>
      <w:r>
        <w:rPr>
          <w:rFonts w:ascii="仿宋_GB2312" w:eastAsia="仿宋_GB2312"/>
          <w:sz w:val="32"/>
          <w:szCs w:val="32"/>
        </w:rPr>
        <w:t>02</w:t>
      </w:r>
      <w:r>
        <w:rPr>
          <w:rFonts w:hint="eastAsia" w:ascii="仿宋_GB2312" w:eastAsia="仿宋_GB2312"/>
          <w:sz w:val="32"/>
          <w:szCs w:val="32"/>
          <w:lang w:val="en-US" w:eastAsia="zh-CN"/>
        </w:rPr>
        <w:t>6</w:t>
      </w:r>
      <w:r>
        <w:rPr>
          <w:rFonts w:hint="eastAsia" w:ascii="仿宋_GB2312" w:eastAsia="仿宋_GB2312"/>
          <w:sz w:val="32"/>
          <w:szCs w:val="32"/>
        </w:rPr>
        <w:t>年预算安排30万元，资金来源为一般公共预算财政拨款。</w:t>
      </w:r>
    </w:p>
    <w:p w14:paraId="21E139B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rPr>
        <w:t>项目绩效年度目标：落实强制检定工作责任,切实</w:t>
      </w:r>
      <w:r>
        <w:rPr>
          <w:rFonts w:hint="eastAsia" w:ascii="仿宋_GB2312" w:eastAsia="仿宋_GB2312"/>
          <w:color w:val="auto"/>
          <w:sz w:val="32"/>
          <w:szCs w:val="32"/>
          <w:lang w:eastAsia="zh-CN"/>
        </w:rPr>
        <w:t>做</w:t>
      </w:r>
      <w:r>
        <w:rPr>
          <w:rFonts w:hint="eastAsia" w:ascii="仿宋_GB2312" w:eastAsia="仿宋_GB2312"/>
          <w:color w:val="auto"/>
          <w:sz w:val="32"/>
          <w:szCs w:val="32"/>
        </w:rPr>
        <w:t>好荆门民生计量检定工作,改善单位办公环境设施,增添标准装置,增添检验设备工作,将能力检测项目增强,提升荆门分院的量值追溯能力</w:t>
      </w:r>
      <w:r>
        <w:rPr>
          <w:rFonts w:hint="eastAsia" w:ascii="仿宋_GB2312" w:eastAsia="仿宋_GB2312"/>
          <w:color w:val="auto"/>
          <w:sz w:val="32"/>
          <w:szCs w:val="32"/>
          <w:lang w:eastAsia="zh-CN"/>
        </w:rPr>
        <w:t>。</w:t>
      </w:r>
    </w:p>
    <w:p w14:paraId="5E7C13E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数量指标：检定检测业务工作完成量≥</w:t>
      </w:r>
      <w:r>
        <w:rPr>
          <w:rFonts w:hint="eastAsia" w:ascii="仿宋_GB2312" w:eastAsia="仿宋_GB2312"/>
          <w:color w:val="auto"/>
          <w:sz w:val="32"/>
          <w:szCs w:val="32"/>
          <w:lang w:val="en-US" w:eastAsia="zh-CN"/>
        </w:rPr>
        <w:t>7</w:t>
      </w:r>
      <w:r>
        <w:rPr>
          <w:rFonts w:hint="eastAsia" w:ascii="仿宋_GB2312" w:eastAsia="仿宋_GB2312"/>
          <w:color w:val="auto"/>
          <w:sz w:val="32"/>
          <w:szCs w:val="32"/>
        </w:rPr>
        <w:t>万台</w:t>
      </w:r>
      <w:r>
        <w:rPr>
          <w:rFonts w:hint="eastAsia" w:ascii="仿宋_GB2312" w:eastAsia="仿宋_GB2312"/>
          <w:color w:val="auto"/>
          <w:sz w:val="32"/>
          <w:szCs w:val="32"/>
          <w:lang w:eastAsia="zh-CN"/>
        </w:rPr>
        <w:t>；</w:t>
      </w:r>
      <w:r>
        <w:rPr>
          <w:rFonts w:hint="eastAsia" w:ascii="仿宋_GB2312" w:eastAsia="仿宋_GB2312"/>
          <w:color w:val="auto"/>
          <w:sz w:val="32"/>
          <w:szCs w:val="32"/>
        </w:rPr>
        <w:t>建立计量标准数量≥</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个。</w:t>
      </w:r>
    </w:p>
    <w:p w14:paraId="398EC0E4">
      <w:pPr>
        <w:spacing w:line="60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质量指标：检定检测业务完检率≥9</w:t>
      </w:r>
      <w:r>
        <w:rPr>
          <w:rFonts w:hint="eastAsia" w:ascii="仿宋_GB2312" w:eastAsia="仿宋_GB2312"/>
          <w:color w:val="auto"/>
          <w:sz w:val="32"/>
          <w:szCs w:val="32"/>
          <w:lang w:val="en-US" w:eastAsia="zh-CN"/>
        </w:rPr>
        <w:t>5</w:t>
      </w:r>
      <w:r>
        <w:rPr>
          <w:rFonts w:ascii="仿宋_GB2312" w:eastAsia="仿宋_GB2312"/>
          <w:color w:val="auto"/>
          <w:sz w:val="32"/>
          <w:szCs w:val="32"/>
        </w:rPr>
        <w:t>%</w:t>
      </w:r>
      <w:r>
        <w:rPr>
          <w:rFonts w:hint="eastAsia" w:ascii="仿宋_GB2312" w:eastAsia="仿宋_GB2312"/>
          <w:color w:val="auto"/>
          <w:sz w:val="32"/>
          <w:szCs w:val="32"/>
        </w:rPr>
        <w:t>。</w:t>
      </w:r>
    </w:p>
    <w:p w14:paraId="7D856934">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color w:val="auto"/>
          <w:sz w:val="32"/>
          <w:szCs w:val="32"/>
        </w:rPr>
      </w:pPr>
      <w:r>
        <w:rPr>
          <w:rFonts w:hint="eastAsia" w:ascii="仿宋_GB2312" w:hAnsi="仿宋_GB2312" w:eastAsia="仿宋_GB2312" w:cs="仿宋_GB2312"/>
          <w:color w:val="auto"/>
          <w:sz w:val="32"/>
          <w:szCs w:val="32"/>
          <w:highlight w:val="none"/>
        </w:rPr>
        <w:t>满意度指标：服务企业满意度调查满意度</w:t>
      </w:r>
      <w:r>
        <w:rPr>
          <w:rFonts w:hint="eastAsia" w:ascii="仿宋_GB2312" w:eastAsia="仿宋_GB2312"/>
          <w:color w:val="auto"/>
          <w:sz w:val="32"/>
          <w:szCs w:val="32"/>
        </w:rPr>
        <w:t>≥9</w:t>
      </w:r>
      <w:r>
        <w:rPr>
          <w:rFonts w:hint="eastAsia" w:ascii="仿宋_GB2312" w:eastAsia="仿宋_GB2312"/>
          <w:color w:val="auto"/>
          <w:sz w:val="32"/>
          <w:szCs w:val="32"/>
          <w:lang w:val="en-US" w:eastAsia="zh-CN"/>
        </w:rPr>
        <w:t>0</w:t>
      </w:r>
      <w:r>
        <w:rPr>
          <w:rFonts w:ascii="仿宋_GB2312" w:eastAsia="仿宋_GB2312"/>
          <w:color w:val="auto"/>
          <w:sz w:val="32"/>
          <w:szCs w:val="32"/>
        </w:rPr>
        <w:t>%</w:t>
      </w:r>
      <w:r>
        <w:rPr>
          <w:rFonts w:hint="eastAsia" w:ascii="仿宋_GB2312" w:eastAsia="仿宋_GB2312"/>
          <w:color w:val="auto"/>
          <w:sz w:val="32"/>
          <w:szCs w:val="32"/>
        </w:rPr>
        <w:t>。</w:t>
      </w:r>
    </w:p>
    <w:p w14:paraId="4D80C889">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九、其他需要说明的情况</w:t>
      </w:r>
    </w:p>
    <w:p w14:paraId="045F0DC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bidi w:val="0"/>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（一）</w:t>
      </w:r>
      <w:r>
        <w:rPr>
          <w:rFonts w:hint="eastAsia" w:ascii="仿宋_GB2312" w:hAnsi="仿宋_GB2312" w:eastAsia="仿宋_GB2312" w:cs="仿宋_GB2312"/>
          <w:i w:val="0"/>
          <w:iCs w:val="0"/>
          <w:caps w:val="0"/>
          <w:color w:val="auto"/>
          <w:spacing w:val="0"/>
          <w:sz w:val="32"/>
          <w:szCs w:val="32"/>
          <w:shd w:val="clear" w:color="auto" w:fill="FFFFFF"/>
        </w:rPr>
        <w:t>空表说明</w:t>
      </w:r>
    </w:p>
    <w:p w14:paraId="36CDF4CC">
      <w:pPr>
        <w:pStyle w:val="10"/>
        <w:spacing w:before="0" w:beforeAutospacing="0" w:after="0" w:afterAutospacing="0" w:line="60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color w:val="auto"/>
          <w:kern w:val="0"/>
          <w:sz w:val="32"/>
          <w:szCs w:val="32"/>
          <w:highlight w:val="none"/>
          <w:u w:val="none"/>
          <w:lang w:eastAsia="zh-CN"/>
        </w:rPr>
        <w:t>湖北省计量测试技术研究院荆门分院</w:t>
      </w:r>
      <w:r>
        <w:rPr>
          <w:rFonts w:hint="eastAsia" w:ascii="仿宋_GB2312" w:hAnsi="仿宋_GB2312" w:eastAsia="仿宋_GB2312" w:cs="仿宋_GB2312"/>
          <w:sz w:val="32"/>
          <w:szCs w:val="32"/>
          <w:shd w:val="clear" w:color="auto" w:fill="FFFFFF"/>
        </w:rPr>
        <w:t>202</w:t>
      </w:r>
      <w:r>
        <w:rPr>
          <w:rFonts w:hint="eastAsia" w:ascii="仿宋_GB2312" w:hAnsi="仿宋_GB2312" w:eastAsia="仿宋_GB2312" w:cs="仿宋_GB2312"/>
          <w:sz w:val="32"/>
          <w:szCs w:val="32"/>
          <w:shd w:val="clear" w:color="auto" w:fill="FFFFFF"/>
          <w:lang w:val="en-US" w:eastAsia="zh-CN"/>
        </w:rPr>
        <w:t>6</w:t>
      </w:r>
      <w:r>
        <w:rPr>
          <w:rFonts w:hint="eastAsia" w:ascii="仿宋_GB2312" w:hAnsi="仿宋_GB2312" w:eastAsia="仿宋_GB2312" w:cs="仿宋_GB2312"/>
          <w:sz w:val="32"/>
          <w:szCs w:val="32"/>
          <w:shd w:val="clear" w:color="auto" w:fill="FFFFFF"/>
        </w:rPr>
        <w:t>年无政府性基金预算支出,故该表为空表。</w:t>
      </w:r>
    </w:p>
    <w:p w14:paraId="6BDF31D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outlineLvl w:val="9"/>
        <w:rPr>
          <w:rFonts w:hint="eastAsia" w:ascii="仿宋_GB2312" w:hAnsi="仿宋_GB2312" w:eastAsia="仿宋_GB2312" w:cs="仿宋_GB2312"/>
          <w:i w:val="0"/>
          <w:iCs w:val="0"/>
          <w:caps w:val="0"/>
          <w:color w:val="FF0000"/>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eastAsia="zh-CN"/>
        </w:rPr>
        <w:t>（二）一般公共预算</w:t>
      </w:r>
      <w:r>
        <w:rPr>
          <w:rFonts w:hint="eastAsia" w:ascii="仿宋_GB2312" w:hAnsi="Times New Roman" w:eastAsia="仿宋_GB2312" w:cs=".PingFang-SC-Light"/>
          <w:kern w:val="0"/>
          <w:sz w:val="32"/>
          <w:szCs w:val="32"/>
          <w:lang w:eastAsia="zh-CN"/>
        </w:rPr>
        <w:t>委托业务</w:t>
      </w:r>
      <w:r>
        <w:rPr>
          <w:rFonts w:hint="eastAsia" w:ascii="仿宋_GB2312" w:hAnsi="宋体" w:eastAsia="仿宋_GB2312" w:cs="宋体"/>
          <w:kern w:val="0"/>
          <w:sz w:val="32"/>
          <w:szCs w:val="32"/>
        </w:rPr>
        <w:t>费</w:t>
      </w:r>
      <w:r>
        <w:rPr>
          <w:rFonts w:hint="eastAsia" w:ascii="仿宋_GB2312" w:hAnsi="Times New Roman" w:eastAsia="仿宋_GB2312" w:cs=".PingFang-SC-Light"/>
          <w:kern w:val="0"/>
          <w:sz w:val="32"/>
          <w:szCs w:val="32"/>
          <w:u w:val="none"/>
          <w:lang w:val="en-US" w:eastAsia="zh-CN"/>
        </w:rPr>
        <w:t>12</w:t>
      </w:r>
      <w:r>
        <w:rPr>
          <w:rFonts w:hint="eastAsia" w:ascii="仿宋_GB2312" w:hAnsi="Times New Roman" w:eastAsia="仿宋_GB2312" w:cs=".PingFang-SC-Light"/>
          <w:kern w:val="0"/>
          <w:sz w:val="32"/>
          <w:szCs w:val="32"/>
          <w:u w:val="none"/>
        </w:rPr>
        <w:t>万</w:t>
      </w:r>
      <w:r>
        <w:rPr>
          <w:rFonts w:hint="eastAsia" w:ascii="仿宋_GB2312" w:hAnsi="Times New Roman" w:eastAsia="仿宋_GB2312" w:cs=".PingFang-SC-Light"/>
          <w:kern w:val="0"/>
          <w:sz w:val="32"/>
          <w:szCs w:val="32"/>
        </w:rPr>
        <w:t>元，</w:t>
      </w:r>
      <w:r>
        <w:rPr>
          <w:rFonts w:hint="eastAsia" w:ascii="仿宋_GB2312" w:hAnsi="宋体" w:eastAsia="仿宋_GB2312" w:cs="宋体"/>
          <w:kern w:val="0"/>
          <w:sz w:val="32"/>
          <w:szCs w:val="32"/>
          <w:highlight w:val="none"/>
          <w:lang w:eastAsia="zh-CN"/>
        </w:rPr>
        <w:t>与上年相比无增加或减少变化</w:t>
      </w:r>
      <w:r>
        <w:rPr>
          <w:rFonts w:hint="eastAsia" w:ascii="仿宋_GB2312" w:hAnsi="MS Mincho" w:eastAsia="仿宋_GB2312" w:cs="MS Mincho"/>
          <w:kern w:val="0"/>
          <w:sz w:val="32"/>
          <w:szCs w:val="32"/>
          <w:highlight w:val="none"/>
        </w:rPr>
        <w:t>。</w:t>
      </w:r>
    </w:p>
    <w:p w14:paraId="6FA341F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bidi w:val="0"/>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eastAsia="zh-CN"/>
        </w:rPr>
        <w:t>（三）</w:t>
      </w:r>
      <w:r>
        <w:rPr>
          <w:rFonts w:hint="eastAsia" w:ascii="仿宋_GB2312" w:hAnsi="仿宋_GB2312" w:eastAsia="仿宋_GB2312" w:cs="仿宋_GB2312"/>
          <w:i w:val="0"/>
          <w:iCs w:val="0"/>
          <w:caps w:val="0"/>
          <w:color w:val="auto"/>
          <w:spacing w:val="0"/>
          <w:sz w:val="32"/>
          <w:szCs w:val="32"/>
          <w:shd w:val="clear" w:color="auto" w:fill="FFFFFF"/>
        </w:rPr>
        <w:t>其他情况说明</w:t>
      </w:r>
    </w:p>
    <w:p w14:paraId="11A3C767">
      <w:pPr>
        <w:pStyle w:val="10"/>
        <w:spacing w:before="0" w:beforeAutospacing="0" w:after="0" w:afterAutospacing="0" w:line="60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color w:val="auto"/>
          <w:kern w:val="0"/>
          <w:sz w:val="32"/>
          <w:szCs w:val="32"/>
          <w:highlight w:val="none"/>
          <w:u w:val="none"/>
          <w:lang w:eastAsia="zh-CN"/>
        </w:rPr>
        <w:t>湖北省计量测试技术研究院荆门分院</w:t>
      </w:r>
      <w:r>
        <w:rPr>
          <w:rFonts w:hint="eastAsia" w:ascii="仿宋_GB2312" w:hAnsi="仿宋_GB2312" w:eastAsia="仿宋_GB2312" w:cs="仿宋_GB2312"/>
          <w:sz w:val="32"/>
          <w:szCs w:val="32"/>
          <w:shd w:val="clear" w:color="auto" w:fill="FFFFFF"/>
        </w:rPr>
        <w:t>无省本级专项支出和对下转移支付项目。</w:t>
      </w:r>
    </w:p>
    <w:p w14:paraId="07EE71EF">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sz w:val="32"/>
          <w:szCs w:val="32"/>
        </w:rPr>
      </w:pPr>
      <w:r>
        <w:rPr>
          <w:rFonts w:hint="eastAsia" w:ascii="黑体" w:hAnsi="黑体" w:eastAsia="黑体" w:cs="Times New Roman"/>
          <w:sz w:val="32"/>
          <w:szCs w:val="32"/>
        </w:rPr>
        <w:t>十、专业名词解释</w:t>
      </w:r>
    </w:p>
    <w:p w14:paraId="5744A33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highlight w:val="none"/>
          <w:u w:val="none"/>
        </w:rPr>
        <w:t>1.机关运行经费：指为保障单位运行使用一般公</w:t>
      </w:r>
      <w:r>
        <w:rPr>
          <w:rFonts w:hint="eastAsia" w:ascii="仿宋_GB2312" w:hAnsi="Times New Roman" w:eastAsia="仿宋_GB2312" w:cs=".PingFang-SC-Light"/>
          <w:kern w:val="0"/>
          <w:sz w:val="32"/>
          <w:szCs w:val="32"/>
          <w:u w:val="none"/>
        </w:rPr>
        <w:t>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14:paraId="2918AFA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2.“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牌照费)、燃料费、维修费、过桥过路费、保险费、安全奖励费用等支出；公务接待费反映单位按规定开支的各类公务接待(含外宾接待) 费用。</w:t>
      </w:r>
    </w:p>
    <w:p w14:paraId="13439DF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3.政府采购：是指各级国家机关、事业单位和团体组织，使用财政性资金采购依法制定的集中采购目录以内的或者采购限额标准以上的货物、工程和服务的行为。政府采购不仅是指具体的采购过程，而且是采购政策、采购程序、采购过程及采购管理的总称，是一种对公共采购管理的制度，是一种政府行为。</w:t>
      </w:r>
    </w:p>
    <w:p w14:paraId="0BA3183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lang w:eastAsia="zh-CN"/>
        </w:rPr>
      </w:pPr>
      <w:r>
        <w:rPr>
          <w:rFonts w:hint="eastAsia" w:ascii="仿宋_GB2312" w:hAnsi="Times New Roman" w:eastAsia="仿宋_GB2312" w:cs=".PingFang-SC-Light"/>
          <w:kern w:val="0"/>
          <w:sz w:val="32"/>
          <w:szCs w:val="32"/>
          <w:u w:val="none"/>
        </w:rPr>
        <w:t>4.</w:t>
      </w:r>
      <w:r>
        <w:rPr>
          <w:rFonts w:hint="eastAsia" w:ascii="仿宋_GB2312" w:hAnsi="Times New Roman" w:eastAsia="仿宋_GB2312" w:cs=".PingFang-SC-Light"/>
          <w:kern w:val="0"/>
          <w:sz w:val="32"/>
          <w:szCs w:val="32"/>
          <w:u w:val="none"/>
          <w:lang w:eastAsia="zh-CN"/>
        </w:rPr>
        <w:t>收入科目</w:t>
      </w:r>
    </w:p>
    <w:p w14:paraId="2EFD0E3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财政拨款(补助)收入：指从同级财政部门取得的财政预算资金。</w:t>
      </w:r>
    </w:p>
    <w:p w14:paraId="5173C53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事业收入：指事业单位开展专业业务活动及其辅助活动取得的收入。 </w:t>
      </w:r>
    </w:p>
    <w:p w14:paraId="20B226F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经营收入：指事业单位在专业业务活动及其辅助活动之外开展非独立核算经营活动取得的收入。</w:t>
      </w:r>
    </w:p>
    <w:p w14:paraId="5577028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其他收入：指除上述“财政拨款收入”以外任务相应安排的资金。</w:t>
      </w:r>
    </w:p>
    <w:p w14:paraId="547EB56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lang w:val="en-US" w:eastAsia="zh-CN"/>
        </w:rPr>
      </w:pPr>
      <w:r>
        <w:rPr>
          <w:rFonts w:hint="eastAsia" w:ascii="仿宋_GB2312" w:hAnsi="Times New Roman" w:eastAsia="仿宋_GB2312" w:cs=".PingFang-SC-Light"/>
          <w:kern w:val="0"/>
          <w:sz w:val="32"/>
          <w:szCs w:val="32"/>
          <w:u w:val="none"/>
          <w:lang w:val="en-US" w:eastAsia="zh-CN"/>
        </w:rPr>
        <w:t>5.支出科目</w:t>
      </w:r>
    </w:p>
    <w:p w14:paraId="7ADA6F2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lang w:val="en-US" w:eastAsia="zh-CN"/>
        </w:rPr>
        <w:t>1</w:t>
      </w: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rPr>
        <w:t>基本支出：指为保障机构正常运转、完成日常工作任务而发生的人员支出和公用支出。</w:t>
      </w:r>
    </w:p>
    <w:p w14:paraId="301E96C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lang w:val="en-US" w:eastAsia="zh-CN"/>
        </w:rPr>
        <w:t>2</w:t>
      </w: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rPr>
        <w:t>项目支出：指在基本支出之外为完成特定行政任务和事业发展目标所发生的支出。</w:t>
      </w:r>
    </w:p>
    <w:p w14:paraId="28CDAE5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lang w:val="en-US" w:eastAsia="zh-CN"/>
        </w:rPr>
        <w:t>3</w:t>
      </w: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rPr>
        <w:t xml:space="preserve">一般公共服务支出（类） </w:t>
      </w:r>
    </w:p>
    <w:p w14:paraId="7506178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市场监督管理事务（款）：反映市场监督管理事务方面的支出。 </w:t>
      </w:r>
    </w:p>
    <w:p w14:paraId="7C53ED1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行政运行（项）：反映行政单位（包括实行公务员管理的事业单位）的基本支出。 </w:t>
      </w:r>
    </w:p>
    <w:p w14:paraId="08F29DF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一般行政管理事务（项）：反映行政单位（包括实行公务员管理的事业单位）未单独设置项级科目的其他项目支出。 </w:t>
      </w:r>
    </w:p>
    <w:p w14:paraId="5285A87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机关服务（项）：反映为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 </w:t>
      </w:r>
    </w:p>
    <w:p w14:paraId="735CDC6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lang w:eastAsia="zh-CN"/>
        </w:rPr>
        <w:t>经营</w:t>
      </w:r>
      <w:r>
        <w:rPr>
          <w:rFonts w:hint="eastAsia" w:ascii="仿宋_GB2312" w:hAnsi="Times New Roman" w:eastAsia="仿宋_GB2312" w:cs=".PingFang-SC-Light"/>
          <w:kern w:val="0"/>
          <w:sz w:val="32"/>
          <w:szCs w:val="32"/>
          <w:u w:val="none"/>
        </w:rPr>
        <w:t>主体管理（项）：反映市场准入、许可审批、信用监管等</w:t>
      </w:r>
      <w:r>
        <w:rPr>
          <w:rFonts w:hint="eastAsia" w:ascii="仿宋_GB2312" w:hAnsi="Times New Roman" w:eastAsia="仿宋_GB2312" w:cs=".PingFang-SC-Light"/>
          <w:kern w:val="0"/>
          <w:sz w:val="32"/>
          <w:szCs w:val="32"/>
          <w:u w:val="none"/>
          <w:lang w:eastAsia="zh-CN"/>
        </w:rPr>
        <w:t>经营</w:t>
      </w:r>
      <w:r>
        <w:rPr>
          <w:rFonts w:hint="eastAsia" w:ascii="仿宋_GB2312" w:hAnsi="Times New Roman" w:eastAsia="仿宋_GB2312" w:cs=".PingFang-SC-Light"/>
          <w:kern w:val="0"/>
          <w:sz w:val="32"/>
          <w:szCs w:val="32"/>
          <w:u w:val="none"/>
        </w:rPr>
        <w:t xml:space="preserve">主体管理专项工作支出。 </w:t>
      </w:r>
    </w:p>
    <w:p w14:paraId="19518B3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市场秩序执法（项）：反映反垄断、价格监督、反不正当竞争、规范直销与打击传销、网络交易监管、广告监管、消费者权益保护、综合执法等市场秩序执法专项工作支出。 </w:t>
      </w:r>
    </w:p>
    <w:p w14:paraId="78D7C0C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信息化建设（项）：反映市场监督管理、药品监督管理部门用于信息化建设及运行维护方面的支出。 </w:t>
      </w:r>
    </w:p>
    <w:p w14:paraId="3767DFF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质量基础（项）：反映计量、标准、认证认可、检验检测等质量基础专项工作支出。 </w:t>
      </w:r>
    </w:p>
    <w:p w14:paraId="37D2E8E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质量安全监管（项）：反映产品质量安全监管、特种设备安全监管等质量监管专项工作支出。 </w:t>
      </w:r>
    </w:p>
    <w:p w14:paraId="2C7276D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食品安全监管（项）：反映食品安全监管等专项工作支出。 </w:t>
      </w:r>
    </w:p>
    <w:p w14:paraId="1A9A66F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事业运行（项）：反映事业单位的基本支出，不包括行政单位（包括实行公务员管理的事业单位）后勤服务中心、医务室等附属事业单位。 </w:t>
      </w:r>
    </w:p>
    <w:p w14:paraId="4F206B4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其他市场监督管理事务（项）：反映用于除上述项目以外其他市场监督管理事务方面的支出。 </w:t>
      </w:r>
    </w:p>
    <w:p w14:paraId="2E2975E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lang w:val="en-US" w:eastAsia="zh-CN"/>
        </w:rPr>
        <w:t>4</w:t>
      </w: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rPr>
        <w:t xml:space="preserve">社会保障和就业支出（类） </w:t>
      </w:r>
    </w:p>
    <w:p w14:paraId="73E51F6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行政事业单位养老支出（款）：反映用于行政事业单位养老方面的支出。 </w:t>
      </w:r>
    </w:p>
    <w:p w14:paraId="00200B8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机关事业单位基本养老保险缴费支出（项）：反映机关事业单位实施养老保险制度由单位缴纳的基本养老保险费支出。 </w:t>
      </w:r>
    </w:p>
    <w:p w14:paraId="5B4F531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机关事业单位职业年金缴费支出（项）：反映机关事业单位实施养老保险制度由单位实际缴纳的职业年金支出。 </w:t>
      </w:r>
    </w:p>
    <w:p w14:paraId="0F388AB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lang w:val="en-US" w:eastAsia="zh-CN"/>
        </w:rPr>
        <w:t>5</w:t>
      </w:r>
      <w:r>
        <w:rPr>
          <w:rFonts w:hint="eastAsia" w:ascii="仿宋_GB2312" w:hAnsi="Times New Roman" w:eastAsia="仿宋_GB2312" w:cs=".PingFang-SC-Light"/>
          <w:kern w:val="0"/>
          <w:sz w:val="32"/>
          <w:szCs w:val="32"/>
          <w:u w:val="none"/>
          <w:lang w:eastAsia="zh-CN"/>
        </w:rPr>
        <w:t>）卫生健康</w:t>
      </w:r>
      <w:r>
        <w:rPr>
          <w:rFonts w:hint="eastAsia" w:ascii="仿宋_GB2312" w:hAnsi="Times New Roman" w:eastAsia="仿宋_GB2312" w:cs=".PingFang-SC-Light"/>
          <w:kern w:val="0"/>
          <w:sz w:val="32"/>
          <w:szCs w:val="32"/>
          <w:u w:val="none"/>
        </w:rPr>
        <w:t xml:space="preserve">支出（类） </w:t>
      </w:r>
    </w:p>
    <w:p w14:paraId="64491BF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行政事业单位医疗（款） ：反映行政事业单位医疗方面的支出</w:t>
      </w:r>
    </w:p>
    <w:p w14:paraId="2D28CAD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行政单位医疗（项）：反映财政部门安排的行政单位（包括实行公务员管理的事业单位，下同）基本医疗保险缴费经费，未参加医疗保险的行政单位的公费医疗经费，按国家规定享受离休人员、红军老战士待遇人员的医疗经费。 </w:t>
      </w:r>
    </w:p>
    <w:p w14:paraId="42C794D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pPr>
      <w:r>
        <w:rPr>
          <w:rFonts w:hint="eastAsia" w:ascii="仿宋_GB2312" w:hAnsi="Times New Roman" w:eastAsia="仿宋_GB2312" w:cs=".PingFang-SC-Light"/>
          <w:kern w:val="0"/>
          <w:sz w:val="32"/>
          <w:szCs w:val="32"/>
          <w:u w:val="none"/>
        </w:rPr>
        <w:t>事业单位医疗（项）：反映财政部门安排的事业单位基本医疗保险缴费经费，未参加医疗保险的事业单位的公费医疗经费，按国家规定享受离休人员待遇的医疗经费。</w:t>
      </w:r>
    </w:p>
    <w:p w14:paraId="7F827E5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highlight w:val="none"/>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Liberation Sans">
    <w:altName w:val="Arial"/>
    <w:panose1 w:val="00000000000000000000"/>
    <w:charset w:val="00"/>
    <w:family w:val="swiss"/>
    <w:pitch w:val="default"/>
    <w:sig w:usb0="00000000" w:usb1="00000000" w:usb2="00000000" w:usb3="00000000" w:csb0="00040001" w:csb1="00000000"/>
  </w:font>
  <w:font w:name="Noto Sans CJK SC Regular">
    <w:altName w:val="Arial Unicode MS"/>
    <w:panose1 w:val="00000000000000000000"/>
    <w:charset w:val="00"/>
    <w:family w:val="auto"/>
    <w:pitch w:val="default"/>
    <w:sig w:usb0="00000000" w:usb1="00000000" w:usb2="00000000" w:usb3="00000000" w:csb0="00040001" w:csb1="00000000"/>
  </w:font>
  <w:font w:name="Noto Sans SC">
    <w:altName w:val="宋体"/>
    <w:panose1 w:val="020B0200000000000000"/>
    <w:charset w:val="86"/>
    <w:family w:val="auto"/>
    <w:pitch w:val="default"/>
    <w:sig w:usb0="00000000" w:usb1="00000000" w:usb2="00000016" w:usb3="00000000" w:csb0="60060107"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auto"/>
    <w:pitch w:val="default"/>
    <w:sig w:usb0="E00002FF" w:usb1="6AC7FDFB" w:usb2="00000012" w:usb3="00000000" w:csb0="4002009F" w:csb1="DFD70000"/>
  </w:font>
  <w:font w:name=".PingFang-SC-Light">
    <w:altName w:val="MS Mincho"/>
    <w:panose1 w:val="00000000000000000000"/>
    <w:charset w:val="80"/>
    <w:family w:val="auto"/>
    <w:pitch w:val="default"/>
    <w:sig w:usb0="00000000" w:usb1="00000000" w:usb2="00000010" w:usb3="00000000" w:csb0="00020000" w:csb1="00000000"/>
  </w:font>
  <w:font w:name="Yu Gothic">
    <w:altName w:val="Meiryo UI"/>
    <w:panose1 w:val="020B0400000000000000"/>
    <w:charset w:val="80"/>
    <w:family w:val="auto"/>
    <w:pitch w:val="default"/>
    <w:sig w:usb0="00000000" w:usb1="00000000" w:usb2="00000016" w:usb3="00000000" w:csb0="2002009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04E7"/>
    <w:rsid w:val="031C0BCC"/>
    <w:rsid w:val="09C201FE"/>
    <w:rsid w:val="1E27710C"/>
    <w:rsid w:val="2C7F40FC"/>
    <w:rsid w:val="329440D6"/>
    <w:rsid w:val="3B254C26"/>
    <w:rsid w:val="3BD8598A"/>
    <w:rsid w:val="51351860"/>
    <w:rsid w:val="66595F27"/>
    <w:rsid w:val="775F7EEA"/>
    <w:rsid w:val="B6DF9B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纯文本1"/>
    <w:basedOn w:val="1"/>
    <w:qFormat/>
    <w:uiPriority w:val="99"/>
    <w:rPr>
      <w:rFonts w:ascii="宋体" w:hAnsi="Courier New" w:cs="Courier New"/>
    </w:rPr>
  </w:style>
  <w:style w:type="paragraph" w:styleId="3">
    <w:name w:val="caption"/>
    <w:basedOn w:val="1"/>
    <w:qFormat/>
    <w:uiPriority w:val="0"/>
    <w:pPr>
      <w:widowControl w:val="0"/>
      <w:suppressLineNumbers/>
      <w:suppressAutoHyphens/>
      <w:spacing w:before="120" w:after="120"/>
    </w:pPr>
    <w:rPr>
      <w:i/>
      <w:iCs/>
      <w:sz w:val="24"/>
      <w:szCs w:val="24"/>
    </w:rPr>
  </w:style>
  <w:style w:type="paragraph" w:styleId="4">
    <w:name w:val="annotation text"/>
    <w:basedOn w:val="1"/>
    <w:qFormat/>
    <w:uiPriority w:val="0"/>
    <w:pPr>
      <w:jc w:val="left"/>
    </w:pPr>
  </w:style>
  <w:style w:type="paragraph" w:styleId="5">
    <w:name w:val="Body Text"/>
    <w:basedOn w:val="1"/>
    <w:qFormat/>
    <w:uiPriority w:val="0"/>
    <w:pPr>
      <w:spacing w:before="0" w:after="140" w:line="276" w:lineRule="auto"/>
    </w:pPr>
  </w:style>
  <w:style w:type="paragraph" w:styleId="6">
    <w:name w:val="Body Text Indent"/>
    <w:basedOn w:val="1"/>
    <w:next w:val="7"/>
    <w:qFormat/>
    <w:uiPriority w:val="0"/>
    <w:pPr>
      <w:ind w:firstLine="570"/>
    </w:pPr>
    <w:rPr>
      <w:rFonts w:ascii="宋体" w:hAnsi="Times New Roman"/>
      <w:sz w:val="28"/>
      <w:szCs w:val="28"/>
    </w:rPr>
  </w:style>
  <w:style w:type="paragraph" w:styleId="7">
    <w:name w:val="Body Text First Indent 2"/>
    <w:basedOn w:val="6"/>
    <w:next w:val="1"/>
    <w:qFormat/>
    <w:uiPriority w:val="0"/>
    <w:pPr>
      <w:spacing w:after="120"/>
      <w:ind w:left="420" w:leftChars="200" w:firstLine="420" w:firstLineChars="200"/>
    </w:pPr>
    <w:rPr>
      <w:rFonts w:ascii="Calibri" w:hAnsi="Calibri"/>
      <w:sz w:val="21"/>
      <w:szCs w:val="22"/>
      <w:lang w:val="en-US" w:eastAsia="zh-CN"/>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List"/>
    <w:basedOn w:val="5"/>
    <w:uiPriority w:val="0"/>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3">
    <w:name w:val="Strong"/>
    <w:basedOn w:val="12"/>
    <w:qFormat/>
    <w:uiPriority w:val="0"/>
    <w:rPr>
      <w:b/>
    </w:rPr>
  </w:style>
  <w:style w:type="character" w:customStyle="1" w:styleId="14">
    <w:name w:val="默认段落字体1"/>
    <w:qFormat/>
    <w:uiPriority w:val="0"/>
  </w:style>
  <w:style w:type="paragraph" w:customStyle="1" w:styleId="15">
    <w:name w:val="Heading"/>
    <w:basedOn w:val="1"/>
    <w:next w:val="5"/>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正文缩进 + 首行缩进:  2 字符"/>
    <w:basedOn w:val="1"/>
    <w:qFormat/>
    <w:uiPriority w:val="0"/>
    <w:pPr>
      <w:spacing w:line="560" w:lineRule="exact"/>
      <w:ind w:firstLine="640"/>
    </w:pPr>
    <w:rPr>
      <w:rFonts w:ascii="仿宋" w:hAnsi="仿宋" w:eastAsia="仿宋" w:cs="宋体"/>
      <w:sz w:val="32"/>
      <w:szCs w:val="20"/>
    </w:rPr>
  </w:style>
  <w:style w:type="paragraph" w:customStyle="1" w:styleId="18">
    <w:name w:val="Body Text First Indent1"/>
    <w:basedOn w:val="5"/>
    <w:qFormat/>
    <w:uiPriority w:val="99"/>
    <w:pPr>
      <w:ind w:firstLine="420" w:firstLineChars="100"/>
    </w:pPr>
    <w:rPr>
      <w:rFonts w:cs="Calibri"/>
      <w:szCs w:val="21"/>
    </w:rPr>
  </w:style>
  <w:style w:type="paragraph" w:customStyle="1" w:styleId="19">
    <w:name w:val="正文-公1"/>
    <w:basedOn w:val="20"/>
    <w:next w:val="1"/>
    <w:qFormat/>
    <w:uiPriority w:val="0"/>
    <w:pPr>
      <w:ind w:firstLine="200" w:firstLineChars="200"/>
    </w:pPr>
  </w:style>
  <w:style w:type="paragraph" w:customStyle="1" w:styleId="20">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9"/>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3715</Words>
  <Characters>3948</Characters>
  <TotalTime>0</TotalTime>
  <ScaleCrop>false</ScaleCrop>
  <LinksUpToDate>false</LinksUpToDate>
  <CharactersWithSpaces>3973</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2018-11-27T01:47:00Z</dcterms:created>
  <dc:creator>ruijie</dc:creator>
  <cp:lastModifiedBy>潘迟先森</cp:lastModifiedBy>
  <dcterms:modified xsi:type="dcterms:W3CDTF">2026-02-27T07:12:26Z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eyJoZGlkIjoiY2ZlYTg4YmNmYzhmODYxYzdkMjkxMTg1MDFjNjk0MjMiLCJ1c2VySWQiOiIzNjQ2NDc1NzkifQ==</vt:lpwstr>
  </property>
  <property fmtid="{D5CDD505-2E9C-101B-9397-08002B2CF9AE}" pid="4" name="ICV">
    <vt:lpwstr>B585E84AFB1E487DBC905A696F623D75_13</vt:lpwstr>
  </property>
</Properties>
</file>